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81"/>
        <w:tblW w:w="0" w:type="auto"/>
        <w:tblLayout w:type="fixed"/>
        <w:tblLook w:val="01E0"/>
      </w:tblPr>
      <w:tblGrid>
        <w:gridCol w:w="4253"/>
      </w:tblGrid>
      <w:tr w:rsidR="00687755">
        <w:trPr>
          <w:trHeight w:val="318"/>
        </w:trPr>
        <w:tc>
          <w:tcPr>
            <w:tcW w:w="4253" w:type="dxa"/>
            <w:vAlign w:val="center"/>
          </w:tcPr>
          <w:p w:rsidR="00687755" w:rsidRDefault="00687755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No: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ON-000130-0002/2018</w:t>
            </w:r>
          </w:p>
        </w:tc>
      </w:tr>
      <w:tr w:rsidR="00687755">
        <w:trPr>
          <w:trHeight w:val="318"/>
        </w:trPr>
        <w:tc>
          <w:tcPr>
            <w:tcW w:w="4253" w:type="dxa"/>
            <w:vAlign w:val="center"/>
          </w:tcPr>
          <w:p w:rsidR="00687755" w:rsidRDefault="00687755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Belgrade, 28 December 2018</w:t>
            </w:r>
          </w:p>
        </w:tc>
      </w:tr>
    </w:tbl>
    <w:p w:rsidR="00687755" w:rsidRDefault="00687755">
      <w:pPr>
        <w:rPr>
          <w:rFonts w:ascii="Times New Roman" w:hAnsi="Times New Roman"/>
          <w:sz w:val="24"/>
          <w:szCs w:val="24"/>
        </w:rPr>
      </w:pPr>
    </w:p>
    <w:p w:rsidR="00687755" w:rsidRDefault="00687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7755" w:rsidRDefault="0068775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7755" w:rsidRDefault="00687755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Pursuant to Article 68 and 84 paragraph 1, item 3, of the Law on the Prevention of Money Laundering and the Financing of Terrorism (AML/CFT Law) (Official Gazette of the Republic of Serbia, 113/17) and Article 44, paragraph 1, of the Law on Public Administration (Official Gazette of the Republic of Serbia, 101/07), the acting director of the Administration for the Prevention of Money Laundering hereby passes the</w:t>
      </w:r>
    </w:p>
    <w:p w:rsidR="00687755" w:rsidRDefault="00687755">
      <w:pPr>
        <w:jc w:val="both"/>
        <w:rPr>
          <w:rFonts w:ascii="Times New Roman" w:hAnsi="Times New Roman"/>
          <w:sz w:val="24"/>
          <w:szCs w:val="24"/>
        </w:rPr>
      </w:pPr>
    </w:p>
    <w:p w:rsidR="00687755" w:rsidRDefault="0068775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DIRECTIVE</w:t>
      </w:r>
    </w:p>
    <w:p w:rsidR="00687755" w:rsidRDefault="0068775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ON PUBLISHING INDICATORS FOR IDENTIFYING SUSPICION ON MONEY LAUNDERING OR TERRORISM FINANCING</w:t>
      </w:r>
    </w:p>
    <w:p w:rsidR="00687755" w:rsidRDefault="00687755">
      <w:pPr>
        <w:jc w:val="both"/>
        <w:rPr>
          <w:rFonts w:ascii="Times New Roman" w:hAnsi="Times New Roman"/>
          <w:sz w:val="24"/>
          <w:szCs w:val="24"/>
        </w:rPr>
      </w:pPr>
    </w:p>
    <w:p w:rsidR="00687755" w:rsidRDefault="006877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 amended list of indicators for accountants to identify suspicious transactions is hereby published on the official webpage of the Administration for the Prevention of Money Laundering.</w:t>
      </w:r>
    </w:p>
    <w:p w:rsidR="00687755" w:rsidRDefault="006877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87755" w:rsidRDefault="00687755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above obliged entities are required to incorporate the Indicators that are an integral part of this Directive into the list of indicators they develop according to Article 69, paragraph 1 of the AML/CFT Law.</w:t>
      </w:r>
    </w:p>
    <w:p w:rsidR="00687755" w:rsidRDefault="006877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87755" w:rsidRDefault="00687755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obliged entities shall implement this list of Indicators from 15</w:t>
      </w:r>
      <w:r>
        <w:rPr>
          <w:rFonts w:ascii="Times New Roman" w:hAnsi="Times New Roman"/>
          <w:color w:val="000000"/>
          <w:sz w:val="24"/>
          <w:szCs w:val="24"/>
        </w:rPr>
        <w:t xml:space="preserve"> January 2019.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sr-Latn-CS"/>
        </w:rPr>
      </w:pPr>
      <w:r>
        <w:rPr>
          <w:rFonts w:ascii="Times New Roman" w:hAnsi="Times New Roman"/>
          <w:sz w:val="24"/>
          <w:szCs w:val="24"/>
          <w:lang w:eastAsia="sr-Latn-CS"/>
        </w:rPr>
        <w:t xml:space="preserve">A client has no employees, which is not consistent with the type and volume of its business. 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sr-Latn-CS"/>
        </w:rPr>
      </w:pPr>
      <w:r>
        <w:rPr>
          <w:rFonts w:ascii="Times New Roman" w:hAnsi="Times New Roman"/>
          <w:sz w:val="24"/>
          <w:szCs w:val="24"/>
          <w:lang w:eastAsia="sr-Latn-CS"/>
        </w:rPr>
        <w:t xml:space="preserve"> A client shows significant interest in reporting transactions according to the Law on the Prevention of Money Laundering and Terrorism Financing. 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sr-Latn-CS"/>
        </w:rPr>
      </w:pPr>
      <w:r>
        <w:rPr>
          <w:rFonts w:ascii="Times New Roman" w:hAnsi="Times New Roman"/>
          <w:sz w:val="24"/>
          <w:szCs w:val="24"/>
          <w:lang w:eastAsia="sr-Latn-CS"/>
        </w:rPr>
        <w:t>A client gives information which seems suspicious or vague.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sr-Latn-CS"/>
        </w:rPr>
      </w:pPr>
      <w:r>
        <w:rPr>
          <w:rFonts w:ascii="Times New Roman" w:hAnsi="Times New Roman"/>
          <w:sz w:val="24"/>
          <w:szCs w:val="24"/>
        </w:rPr>
        <w:t xml:space="preserve">A client desires to assure the accountant that there is no need to fill in or provide some of the documents required.   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sr-Latn-CS"/>
        </w:rPr>
      </w:pPr>
      <w:r>
        <w:rPr>
          <w:rFonts w:ascii="Times New Roman" w:hAnsi="Times New Roman"/>
          <w:sz w:val="24"/>
          <w:szCs w:val="24"/>
        </w:rPr>
        <w:t xml:space="preserve">A client often changes its accountants.  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sr-Latn-CS"/>
        </w:rPr>
      </w:pPr>
      <w:r>
        <w:rPr>
          <w:rFonts w:ascii="Times New Roman" w:hAnsi="Times New Roman"/>
          <w:sz w:val="24"/>
          <w:szCs w:val="24"/>
        </w:rPr>
        <w:t xml:space="preserve">A client does not know where business documentation is kept.   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sr-Latn-CS"/>
        </w:rPr>
      </w:pPr>
      <w:r>
        <w:rPr>
          <w:rFonts w:ascii="Times New Roman" w:hAnsi="Times New Roman"/>
          <w:sz w:val="24"/>
          <w:szCs w:val="24"/>
        </w:rPr>
        <w:t xml:space="preserve">A client invoices services for which it cannot be ascertained if they have actually been provided, and/or pays for a particular type of service to legal persons with the registered seat in offshore (tax havens).  </w:t>
      </w:r>
    </w:p>
    <w:p w:rsidR="00687755" w:rsidRDefault="0068775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 client conducts unusual or very complex transactions, especially in the beginning and in the end of a reporting period.    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Unusual profitability of the client in comparison to other legal persons in the same industry. 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client requests the accountant to conduct a transaction for the client, but for and on behalf of the accountant, contrary to business practice.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client  terminates the contract in place with the accountant because the accountant requests additional explanations about the execution of certain transactions or transactions announced for the future. </w:t>
      </w:r>
    </w:p>
    <w:p w:rsidR="00687755" w:rsidRDefault="006877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Premature cash repayment of a credit or loan.  </w:t>
      </w:r>
    </w:p>
    <w:p w:rsidR="00687755" w:rsidRDefault="00687755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client fails to provide an accounting document.</w:t>
      </w:r>
    </w:p>
    <w:p w:rsidR="00687755" w:rsidRDefault="00687755">
      <w:pPr>
        <w:pStyle w:val="ListParagraph"/>
        <w:numPr>
          <w:ilvl w:val="0"/>
          <w:numId w:val="2"/>
        </w:numPr>
        <w:spacing w:after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accountant doubts the veracity of the accounting document, it doubts whether it is true or not or whether it shows a business change.</w:t>
      </w:r>
    </w:p>
    <w:p w:rsidR="00687755" w:rsidRDefault="00687755">
      <w:pPr>
        <w:pStyle w:val="ListParagraph"/>
        <w:numPr>
          <w:ilvl w:val="0"/>
          <w:numId w:val="2"/>
        </w:numPr>
        <w:spacing w:after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accounting document provided does not contain all the data required for entering in the business books, and the client still insists that such a document be entered. </w:t>
      </w:r>
    </w:p>
    <w:p w:rsidR="00687755" w:rsidRDefault="00687755">
      <w:pPr>
        <w:pStyle w:val="ListParagraph"/>
        <w:numPr>
          <w:ilvl w:val="0"/>
          <w:numId w:val="2"/>
        </w:numPr>
        <w:spacing w:after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Large and sudden fluctuations in assets can be noticed in a client.</w:t>
      </w:r>
    </w:p>
    <w:p w:rsidR="00687755" w:rsidRDefault="00687755">
      <w:pPr>
        <w:pStyle w:val="ListParagraph"/>
        <w:numPr>
          <w:ilvl w:val="0"/>
          <w:numId w:val="2"/>
        </w:numPr>
        <w:spacing w:after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client constantly operates with loss even though its existence is not endangered, while there are no justified reasons for this.</w:t>
      </w:r>
    </w:p>
    <w:p w:rsidR="00687755" w:rsidRDefault="00687755">
      <w:pPr>
        <w:pStyle w:val="ListParagraph"/>
        <w:numPr>
          <w:ilvl w:val="0"/>
          <w:numId w:val="2"/>
        </w:numPr>
        <w:spacing w:after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Unusually high costs for services provided by foreign suppliers are noticed in a client.</w:t>
      </w:r>
    </w:p>
    <w:p w:rsidR="00687755" w:rsidRDefault="00687755">
      <w:pPr>
        <w:pStyle w:val="ListParagraph"/>
        <w:numPr>
          <w:ilvl w:val="0"/>
          <w:numId w:val="2"/>
        </w:numPr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does not know its business well, based on which it can be concluded that it does not run it at all or it runs it to a very limited extent.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There are not evidence of any transactions, or such evidence is not satisfactory.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has recorded some individual transactions that are unusually high compared to other transactions.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pays for undefined services.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tells or admits to be implicated in illicit activities.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shows significant unexpected interest for mechanisms and ways of functioning of the AML/CFT system.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offers money, gifts or other unusual benefits as consideration for obviously unusual and dubious business.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knows suspicious transaction reporting rules very well.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starts him/herself claiming that the assets are ‘clean’ and not ‘laundered’.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encloses copies of personal IDs only.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The clients tries to conduct identification based on documents other than personal ID documents.  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purchases unique policy insurance premiums pays them in cash or check, at an amount that is obviously disproportionate to its income.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client terminates a contract with the business partner showing no concern over the significant tax or other costs due as the result of the termination.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owner of the customer is a firm or individual registered in a tax haven, country through which drugs trafficking is done, or country where AML/CFT are is not legally regulated.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ultimate beneficial owner of the client is a natural person who is a citizen of a tax haven, country through which drugs trafficking is done, or country where AML/CFT are is not legally regulated, whereas judging from its general operations one gets the impression that the beneficial owner is a domestic individual.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invoices for selling and receipt of goods are not covered by the appropriate goods receipt or delivery notes or other documentation, which can lead to a conclusion that the trade in goods is fictitious.</w:t>
      </w:r>
    </w:p>
    <w:p w:rsidR="00687755" w:rsidRDefault="0068775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The client receives loans and credits and the money received on that ground is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immediately further given, in the same or similar amount, as loan or credit to other persons, or used to establish subsidiary legal entities.</w:t>
      </w:r>
    </w:p>
    <w:p w:rsidR="00687755" w:rsidRDefault="00687755">
      <w:pPr>
        <w:pStyle w:val="ListParagraph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687755" w:rsidRDefault="0068775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7755" w:rsidRDefault="0068775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7755" w:rsidRDefault="0068775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7755" w:rsidRDefault="00687755">
      <w:pPr>
        <w:tabs>
          <w:tab w:val="left" w:pos="72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Director, a.i.</w:t>
      </w:r>
    </w:p>
    <w:p w:rsidR="00687755" w:rsidRDefault="0068775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7755" w:rsidRDefault="0068775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Željko Radovanović</w:t>
      </w:r>
    </w:p>
    <w:sectPr w:rsidR="00687755" w:rsidSect="00B454E4">
      <w:headerReference w:type="first" r:id="rId7"/>
      <w:footerReference w:type="first" r:id="rId8"/>
      <w:pgSz w:w="11907" w:h="16839" w:code="9"/>
      <w:pgMar w:top="1440" w:right="1275" w:bottom="144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03F" w:rsidRDefault="0077303F">
      <w:pPr>
        <w:spacing w:after="0" w:line="240" w:lineRule="auto"/>
      </w:pPr>
      <w:r>
        <w:separator/>
      </w:r>
    </w:p>
  </w:endnote>
  <w:endnote w:type="continuationSeparator" w:id="0">
    <w:p w:rsidR="0077303F" w:rsidRDefault="0077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755" w:rsidRDefault="00B454E4">
    <w:pPr>
      <w:pStyle w:val="Footer"/>
      <w:jc w:val="center"/>
      <w:rPr>
        <w:b/>
        <w:sz w:val="20"/>
        <w:szCs w:val="20"/>
      </w:rPr>
    </w:pPr>
    <w:r>
      <w:pict>
        <v:rect id="_x0000_i1025" style="width:0;height:1.5pt" o:hralign="center" o:hrstd="t" o:hr="t" fillcolor="gray" stroked="f"/>
      </w:pict>
    </w:r>
  </w:p>
  <w:p w:rsidR="00687755" w:rsidRDefault="00687755">
    <w:pPr>
      <w:pStyle w:val="Footer"/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b/>
        <w:sz w:val="16"/>
        <w:szCs w:val="16"/>
      </w:rPr>
      <w:t>24 Resavska</w:t>
    </w:r>
  </w:p>
  <w:p w:rsidR="00687755" w:rsidRDefault="00687755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color w:val="000000"/>
        <w:sz w:val="16"/>
        <w:szCs w:val="16"/>
      </w:rPr>
      <w:t>Belgrade, Republic of Serbia</w:t>
    </w:r>
  </w:p>
  <w:p w:rsidR="00687755" w:rsidRDefault="00687755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sz w:val="16"/>
        <w:szCs w:val="16"/>
      </w:rPr>
      <w:t>T:</w:t>
    </w:r>
    <w:r>
      <w:rPr>
        <w:rFonts w:ascii="Times New Roman" w:hAnsi="Times New Roman"/>
        <w:sz w:val="16"/>
        <w:szCs w:val="16"/>
      </w:rPr>
      <w:t xml:space="preserve"> </w:t>
    </w:r>
    <w:r>
      <w:rPr>
        <w:rFonts w:ascii="Times New Roman" w:hAnsi="Times New Roman"/>
        <w:b/>
        <w:sz w:val="16"/>
        <w:szCs w:val="16"/>
      </w:rPr>
      <w:t xml:space="preserve">(381) (0) 11 </w:t>
    </w:r>
    <w:r>
      <w:rPr>
        <w:rFonts w:ascii="Times New Roman" w:hAnsi="Times New Roman"/>
        <w:b/>
        <w:color w:val="000000"/>
        <w:sz w:val="16"/>
        <w:szCs w:val="16"/>
      </w:rPr>
      <w:t>7359-070* F (381) (0) 11 3628-399</w:t>
    </w:r>
  </w:p>
  <w:p w:rsidR="00687755" w:rsidRDefault="00687755">
    <w:pPr>
      <w:pStyle w:val="Footer"/>
      <w:jc w:val="center"/>
    </w:pPr>
    <w:r>
      <w:rPr>
        <w:rFonts w:ascii="Times New Roman" w:hAnsi="Times New Roman"/>
        <w:b/>
        <w:sz w:val="16"/>
        <w:szCs w:val="16"/>
      </w:rPr>
      <w:t>www.apml.gov.rs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03F" w:rsidRDefault="0077303F">
      <w:pPr>
        <w:spacing w:after="0" w:line="240" w:lineRule="auto"/>
      </w:pPr>
      <w:r>
        <w:separator/>
      </w:r>
    </w:p>
  </w:footnote>
  <w:footnote w:type="continuationSeparator" w:id="0">
    <w:p w:rsidR="0077303F" w:rsidRDefault="00773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755" w:rsidRDefault="00397D7B">
    <w:pPr>
      <w:pStyle w:val="Header"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19050" t="0" r="9525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7755" w:rsidRDefault="00687755">
    <w:pPr>
      <w:pStyle w:val="Header"/>
      <w:jc w:val="center"/>
      <w:rPr>
        <w:rFonts w:ascii="Times New Roman" w:hAnsi="Times New Roman"/>
      </w:rPr>
    </w:pPr>
  </w:p>
  <w:p w:rsidR="00687755" w:rsidRDefault="00687755">
    <w:pPr>
      <w:pStyle w:val="Header"/>
      <w:jc w:val="center"/>
      <w:rPr>
        <w:rFonts w:ascii="Times New Roman" w:hAnsi="Times New Roman"/>
      </w:rPr>
    </w:pPr>
  </w:p>
  <w:p w:rsidR="00687755" w:rsidRDefault="00B454E4">
    <w:pPr>
      <w:pStyle w:val="Header"/>
      <w:jc w:val="center"/>
      <w:rPr>
        <w:rFonts w:ascii="Times New Roman" w:hAnsi="Times New Roman"/>
      </w:rPr>
    </w:pPr>
    <w:r w:rsidRPr="00B454E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.1pt;margin-top:.4pt;width:223.1pt;height:115.8pt;z-index:251657216;mso-height-percent:200;mso-height-percent:200;mso-width-relative:margin;mso-height-relative:margin" strokecolor="white" strokeweight="1.5pt">
          <v:textbox style="mso-next-textbox:#_x0000_s2050;mso-fit-shape-to-text:t">
            <w:txbxContent>
              <w:p w:rsidR="00687755" w:rsidRDefault="00687755">
                <w:pPr>
                  <w:pStyle w:val="Header"/>
                  <w:jc w:val="center"/>
                  <w:rPr>
                    <w:rFonts w:ascii="Times New Roman" w:hAnsi="Times New Roman"/>
                  </w:rPr>
                </w:pPr>
              </w:p>
              <w:p w:rsidR="00687755" w:rsidRDefault="00687755">
                <w:pPr>
                  <w:pStyle w:val="Header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  <w:szCs w:val="24"/>
                  </w:rPr>
                  <w:t>Republic of Serbia</w:t>
                </w:r>
              </w:p>
              <w:p w:rsidR="00687755" w:rsidRDefault="00687755">
                <w:pPr>
                  <w:pStyle w:val="Header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  <w:szCs w:val="24"/>
                  </w:rPr>
                  <w:t>MINISTRY OF FINANCE</w:t>
                </w:r>
              </w:p>
              <w:p w:rsidR="00687755" w:rsidRDefault="00687755">
                <w:pPr>
                  <w:pStyle w:val="Header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  <w:szCs w:val="24"/>
                  </w:rPr>
                  <w:t>Administration for the Prevention of Money Laundering</w:t>
                </w:r>
              </w:p>
              <w:p w:rsidR="00687755" w:rsidRDefault="00687755">
                <w:pPr>
                  <w:pStyle w:val="Header"/>
                  <w:jc w:val="center"/>
                  <w:rPr>
                    <w:rFonts w:ascii="Times New Roman" w:hAnsi="Times New Roman"/>
                  </w:rPr>
                </w:pPr>
              </w:p>
              <w:p w:rsidR="00687755" w:rsidRDefault="00687755"/>
            </w:txbxContent>
          </v:textbox>
        </v:shape>
      </w:pict>
    </w:r>
  </w:p>
  <w:p w:rsidR="00687755" w:rsidRDefault="00687755">
    <w:pPr>
      <w:pStyle w:val="Header"/>
      <w:jc w:val="center"/>
      <w:rPr>
        <w:rFonts w:ascii="Times New Roman" w:hAnsi="Times New Roman"/>
      </w:rPr>
    </w:pPr>
  </w:p>
  <w:p w:rsidR="00687755" w:rsidRDefault="00687755">
    <w:pPr>
      <w:pStyle w:val="Header"/>
      <w:jc w:val="center"/>
      <w:rPr>
        <w:rFonts w:ascii="Times New Roman" w:hAnsi="Times New Roman"/>
      </w:rPr>
    </w:pPr>
  </w:p>
  <w:p w:rsidR="00687755" w:rsidRDefault="00687755">
    <w:pPr>
      <w:pStyle w:val="Header"/>
      <w:jc w:val="center"/>
      <w:rPr>
        <w:rFonts w:ascii="Times New Roman" w:hAnsi="Times New Roman"/>
      </w:rPr>
    </w:pPr>
  </w:p>
  <w:p w:rsidR="00687755" w:rsidRDefault="00687755">
    <w:pPr>
      <w:pStyle w:val="Header"/>
      <w:jc w:val="center"/>
      <w:rPr>
        <w:rFonts w:ascii="Times New Roman" w:hAnsi="Times New Roman"/>
      </w:rPr>
    </w:pPr>
  </w:p>
  <w:p w:rsidR="00687755" w:rsidRDefault="00687755">
    <w:pPr>
      <w:pStyle w:val="Header"/>
      <w:jc w:val="center"/>
      <w:rPr>
        <w:rFonts w:ascii="Times New Roman" w:hAnsi="Times New Roman"/>
      </w:rPr>
    </w:pPr>
  </w:p>
  <w:p w:rsidR="00687755" w:rsidRDefault="0068775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53800"/>
    <w:multiLevelType w:val="hybridMultilevel"/>
    <w:tmpl w:val="5622E0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473610C"/>
    <w:multiLevelType w:val="hybridMultilevel"/>
    <w:tmpl w:val="C46A8B7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5610"/>
    <w:rsid w:val="00397D7B"/>
    <w:rsid w:val="00574D68"/>
    <w:rsid w:val="00687755"/>
    <w:rsid w:val="007668A4"/>
    <w:rsid w:val="0077303F"/>
    <w:rsid w:val="007E3CD5"/>
    <w:rsid w:val="00915610"/>
    <w:rsid w:val="00983DBB"/>
    <w:rsid w:val="00B454E4"/>
    <w:rsid w:val="00DE6C1D"/>
    <w:rsid w:val="00F9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454E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454E4"/>
    <w:rPr>
      <w:rFonts w:cs="Times New Roman"/>
    </w:rPr>
  </w:style>
  <w:style w:type="table" w:styleId="TableGrid">
    <w:name w:val="Table Grid"/>
    <w:basedOn w:val="TableNormal"/>
    <w:uiPriority w:val="59"/>
    <w:rsid w:val="00B454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74D68"/>
    <w:pPr>
      <w:spacing w:after="0" w:line="240" w:lineRule="auto"/>
      <w:ind w:left="720" w:firstLine="360"/>
      <w:contextualSpacing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8D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54E4"/>
    <w:rPr>
      <w:rFonts w:ascii="Segoe UI" w:hAnsi="Segoe UI"/>
      <w:sz w:val="18"/>
    </w:rPr>
  </w:style>
  <w:style w:type="character" w:customStyle="1" w:styleId="tw4winMark">
    <w:name w:val="tw4winMark"/>
    <w:uiPriority w:val="99"/>
    <w:rsid w:val="00B454E4"/>
    <w:rPr>
      <w:rFonts w:ascii="Times New Roman" w:hAnsi="Times New Roman"/>
      <w:vanish/>
      <w:color w:val="800080"/>
      <w:vertAlign w:val="sub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2019-07-11T06:49:00Z</dcterms:created>
  <dcterms:modified xsi:type="dcterms:W3CDTF">2019-07-11T06:49:00Z</dcterms:modified>
</cp:coreProperties>
</file>