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DA" w:rsidRPr="00CF4C4E" w:rsidRDefault="00A278FF" w:rsidP="00CF4C4E">
      <w:pPr>
        <w:pStyle w:val="Heading1"/>
        <w:spacing w:before="0"/>
        <w:jc w:val="center"/>
        <w:rPr>
          <w:rFonts w:ascii="Times New Roman" w:hAnsi="Times New Roman" w:cs="Times New Roman"/>
          <w:color w:val="auto"/>
          <w:sz w:val="20"/>
          <w:szCs w:val="20"/>
          <w:lang w:val="en-GB"/>
        </w:rPr>
      </w:pPr>
      <w:bookmarkStart w:id="0" w:name="_Toc32409904"/>
      <w:r w:rsidRPr="00CF4C4E">
        <w:rPr>
          <w:rFonts w:ascii="Times New Roman" w:hAnsi="Times New Roman" w:cs="Times New Roman"/>
          <w:color w:val="auto"/>
          <w:sz w:val="20"/>
          <w:szCs w:val="20"/>
          <w:lang w:val="en-GB"/>
        </w:rPr>
        <w:t>Action Plan</w:t>
      </w:r>
      <w:bookmarkEnd w:id="0"/>
    </w:p>
    <w:p w:rsidR="009A5E51" w:rsidRPr="00CF4C4E" w:rsidRDefault="009A5E51" w:rsidP="00CF4C4E">
      <w:pPr>
        <w:rPr>
          <w:sz w:val="20"/>
          <w:szCs w:val="20"/>
          <w:lang w:val="en-GB"/>
        </w:rPr>
      </w:pPr>
    </w:p>
    <w:tbl>
      <w:tblPr>
        <w:tblStyle w:val="TableGrid"/>
        <w:tblW w:w="14142" w:type="dxa"/>
        <w:tblLook w:val="04A0"/>
      </w:tblPr>
      <w:tblGrid>
        <w:gridCol w:w="3327"/>
        <w:gridCol w:w="10815"/>
      </w:tblGrid>
      <w:tr w:rsidR="00F43ECD" w:rsidRPr="00CF4C4E" w:rsidTr="00CF4C4E">
        <w:trPr>
          <w:trHeight w:val="230"/>
        </w:trPr>
        <w:tc>
          <w:tcPr>
            <w:tcW w:w="3327" w:type="dxa"/>
            <w:tcBorders>
              <w:top w:val="double" w:sz="4" w:space="0" w:color="auto"/>
              <w:left w:val="double" w:sz="4" w:space="0" w:color="auto"/>
            </w:tcBorders>
          </w:tcPr>
          <w:p w:rsidR="00F43ECD" w:rsidRPr="00CF4C4E" w:rsidRDefault="00F43ECD" w:rsidP="00CF4C4E">
            <w:pPr>
              <w:rPr>
                <w:b/>
                <w:sz w:val="20"/>
                <w:szCs w:val="20"/>
                <w:lang w:val="en-GB"/>
              </w:rPr>
            </w:pPr>
            <w:r w:rsidRPr="00CF4C4E">
              <w:rPr>
                <w:b/>
                <w:bCs/>
                <w:sz w:val="20"/>
                <w:szCs w:val="20"/>
                <w:lang w:val="en-GB"/>
              </w:rPr>
              <w:t>PP Document:</w:t>
            </w:r>
          </w:p>
        </w:tc>
        <w:tc>
          <w:tcPr>
            <w:tcW w:w="10815" w:type="dxa"/>
            <w:tcBorders>
              <w:top w:val="double" w:sz="4" w:space="0" w:color="auto"/>
              <w:right w:val="double" w:sz="4" w:space="0" w:color="auto"/>
            </w:tcBorders>
          </w:tcPr>
          <w:p w:rsidR="00F43ECD" w:rsidRPr="00CF4C4E" w:rsidRDefault="00267777" w:rsidP="00CF4C4E">
            <w:pPr>
              <w:rPr>
                <w:sz w:val="20"/>
                <w:szCs w:val="20"/>
                <w:lang w:val="en-GB"/>
              </w:rPr>
            </w:pPr>
            <w:r w:rsidRPr="00CF4C4E">
              <w:rPr>
                <w:sz w:val="20"/>
                <w:szCs w:val="20"/>
                <w:lang w:val="en-GB"/>
              </w:rPr>
              <w:t>Strategy against Money Laundering and the Financing of Terrorism (2020-2024)</w:t>
            </w:r>
          </w:p>
        </w:tc>
      </w:tr>
      <w:tr w:rsidR="00F43ECD" w:rsidRPr="00CF4C4E" w:rsidTr="00CF4C4E">
        <w:trPr>
          <w:trHeight w:val="164"/>
        </w:trPr>
        <w:tc>
          <w:tcPr>
            <w:tcW w:w="3327" w:type="dxa"/>
            <w:tcBorders>
              <w:left w:val="double" w:sz="4" w:space="0" w:color="auto"/>
            </w:tcBorders>
          </w:tcPr>
          <w:p w:rsidR="00F43ECD" w:rsidRPr="00CF4C4E" w:rsidRDefault="00F43ECD" w:rsidP="00CF4C4E">
            <w:pPr>
              <w:rPr>
                <w:b/>
                <w:sz w:val="20"/>
                <w:szCs w:val="20"/>
                <w:lang w:val="en-GB"/>
              </w:rPr>
            </w:pPr>
            <w:r w:rsidRPr="00CF4C4E">
              <w:rPr>
                <w:b/>
                <w:bCs/>
                <w:sz w:val="20"/>
                <w:szCs w:val="20"/>
                <w:lang w:val="en-GB"/>
              </w:rPr>
              <w:t>Action plan:</w:t>
            </w:r>
          </w:p>
        </w:tc>
        <w:tc>
          <w:tcPr>
            <w:tcW w:w="10815" w:type="dxa"/>
            <w:tcBorders>
              <w:right w:val="double" w:sz="4" w:space="0" w:color="auto"/>
            </w:tcBorders>
          </w:tcPr>
          <w:p w:rsidR="00F43ECD" w:rsidRPr="00CF4C4E" w:rsidRDefault="00497818" w:rsidP="00CF4C4E">
            <w:pPr>
              <w:rPr>
                <w:sz w:val="20"/>
                <w:szCs w:val="20"/>
                <w:lang w:val="en-GB"/>
              </w:rPr>
            </w:pPr>
            <w:r w:rsidRPr="00CF4C4E">
              <w:rPr>
                <w:sz w:val="20"/>
                <w:szCs w:val="20"/>
                <w:lang w:val="en-GB"/>
              </w:rPr>
              <w:t>Action Plan for implementing the Strategy against Money Laundering and the Financing of Terrorism (2020-2022)</w:t>
            </w:r>
          </w:p>
        </w:tc>
      </w:tr>
      <w:tr w:rsidR="00F43ECD" w:rsidRPr="00CF4C4E" w:rsidTr="00CF4C4E">
        <w:trPr>
          <w:trHeight w:val="230"/>
        </w:trPr>
        <w:tc>
          <w:tcPr>
            <w:tcW w:w="3327" w:type="dxa"/>
            <w:tcBorders>
              <w:left w:val="double" w:sz="4" w:space="0" w:color="auto"/>
            </w:tcBorders>
          </w:tcPr>
          <w:p w:rsidR="00F43ECD" w:rsidRPr="00CF4C4E" w:rsidRDefault="00F43ECD" w:rsidP="00CF4C4E">
            <w:pPr>
              <w:rPr>
                <w:b/>
                <w:sz w:val="20"/>
                <w:szCs w:val="20"/>
                <w:lang w:val="en-GB"/>
              </w:rPr>
            </w:pPr>
            <w:r w:rsidRPr="00CF4C4E">
              <w:rPr>
                <w:b/>
                <w:bCs/>
                <w:sz w:val="20"/>
                <w:szCs w:val="20"/>
                <w:lang w:val="en-GB"/>
              </w:rPr>
              <w:t>Coordination and reporting</w:t>
            </w:r>
          </w:p>
        </w:tc>
        <w:tc>
          <w:tcPr>
            <w:tcW w:w="10815" w:type="dxa"/>
            <w:tcBorders>
              <w:right w:val="double" w:sz="4" w:space="0" w:color="auto"/>
            </w:tcBorders>
          </w:tcPr>
          <w:p w:rsidR="00F43ECD" w:rsidRPr="00CF4C4E" w:rsidRDefault="00C1496A" w:rsidP="00CF4C4E">
            <w:pPr>
              <w:rPr>
                <w:sz w:val="20"/>
                <w:szCs w:val="20"/>
                <w:lang w:val="en-GB"/>
              </w:rPr>
            </w:pPr>
            <w:r w:rsidRPr="00CF4C4E">
              <w:rPr>
                <w:rFonts w:eastAsia="Times New Roman"/>
                <w:color w:val="222222"/>
                <w:sz w:val="20"/>
                <w:szCs w:val="20"/>
                <w:lang w:val="en-GB"/>
              </w:rPr>
              <w:t>Coordination Body for the Prevention of Money Laundering and the Financing of Terrorism (AML/CFT CB)</w:t>
            </w:r>
          </w:p>
        </w:tc>
      </w:tr>
      <w:tr w:rsidR="00F43ECD" w:rsidRPr="00CF4C4E" w:rsidTr="00CF4C4E">
        <w:trPr>
          <w:trHeight w:val="230"/>
        </w:trPr>
        <w:tc>
          <w:tcPr>
            <w:tcW w:w="3327" w:type="dxa"/>
            <w:tcBorders>
              <w:left w:val="double" w:sz="4" w:space="0" w:color="auto"/>
              <w:bottom w:val="double" w:sz="4" w:space="0" w:color="auto"/>
            </w:tcBorders>
          </w:tcPr>
          <w:p w:rsidR="00F43ECD" w:rsidRPr="00CF4C4E" w:rsidRDefault="00F43ECD" w:rsidP="00CF4C4E">
            <w:pPr>
              <w:rPr>
                <w:b/>
                <w:sz w:val="20"/>
                <w:szCs w:val="20"/>
                <w:lang w:val="en-GB"/>
              </w:rPr>
            </w:pPr>
            <w:r w:rsidRPr="00CF4C4E">
              <w:rPr>
                <w:b/>
                <w:bCs/>
                <w:sz w:val="20"/>
                <w:szCs w:val="20"/>
                <w:lang w:val="en-GB"/>
              </w:rPr>
              <w:t>Umbrella PP Document:</w:t>
            </w:r>
          </w:p>
        </w:tc>
        <w:tc>
          <w:tcPr>
            <w:tcW w:w="10815" w:type="dxa"/>
            <w:tcBorders>
              <w:bottom w:val="double" w:sz="4" w:space="0" w:color="auto"/>
              <w:right w:val="double" w:sz="4" w:space="0" w:color="auto"/>
            </w:tcBorders>
          </w:tcPr>
          <w:p w:rsidR="00F43ECD" w:rsidRPr="00CF4C4E" w:rsidRDefault="00267777" w:rsidP="00CF4C4E">
            <w:pPr>
              <w:rPr>
                <w:sz w:val="20"/>
                <w:szCs w:val="20"/>
                <w:lang w:val="en-GB"/>
              </w:rPr>
            </w:pPr>
            <w:r w:rsidRPr="00CF4C4E">
              <w:rPr>
                <w:sz w:val="20"/>
                <w:szCs w:val="20"/>
                <w:lang w:val="en-GB"/>
              </w:rPr>
              <w:t>Strategy against Money Laundering and the Financing of Terrorism (2020-2024)</w:t>
            </w:r>
          </w:p>
        </w:tc>
      </w:tr>
    </w:tbl>
    <w:p w:rsidR="00F43ECD" w:rsidRPr="00CF4C4E" w:rsidRDefault="00F43ECD" w:rsidP="00CF4C4E">
      <w:pPr>
        <w:rPr>
          <w:sz w:val="20"/>
          <w:szCs w:val="20"/>
          <w:lang w:val="en-GB"/>
        </w:rPr>
      </w:pPr>
    </w:p>
    <w:tbl>
      <w:tblPr>
        <w:tblStyle w:val="TableGrid"/>
        <w:tblW w:w="14142" w:type="dxa"/>
        <w:tblLayout w:type="fixed"/>
        <w:tblLook w:val="04A0"/>
      </w:tblPr>
      <w:tblGrid>
        <w:gridCol w:w="2802"/>
        <w:gridCol w:w="2126"/>
        <w:gridCol w:w="1843"/>
        <w:gridCol w:w="3118"/>
        <w:gridCol w:w="1418"/>
        <w:gridCol w:w="1701"/>
        <w:gridCol w:w="1134"/>
      </w:tblGrid>
      <w:tr w:rsidR="00F43ECD" w:rsidRPr="00CF4C4E" w:rsidTr="00DF0DDF">
        <w:trPr>
          <w:trHeight w:val="403"/>
        </w:trPr>
        <w:tc>
          <w:tcPr>
            <w:tcW w:w="14142" w:type="dxa"/>
            <w:gridSpan w:val="7"/>
            <w:tcBorders>
              <w:top w:val="double" w:sz="4" w:space="0" w:color="auto"/>
              <w:left w:val="double" w:sz="4" w:space="0" w:color="auto"/>
              <w:right w:val="double" w:sz="4" w:space="0" w:color="auto"/>
            </w:tcBorders>
            <w:shd w:val="clear" w:color="auto" w:fill="DBE5F1" w:themeFill="accent1" w:themeFillTint="33"/>
          </w:tcPr>
          <w:p w:rsidR="00F43ECD" w:rsidRPr="00CF4C4E" w:rsidRDefault="00F43ECD" w:rsidP="00CF4C4E">
            <w:pPr>
              <w:jc w:val="both"/>
              <w:rPr>
                <w:sz w:val="20"/>
                <w:szCs w:val="20"/>
                <w:lang w:val="en-GB"/>
              </w:rPr>
            </w:pPr>
            <w:r w:rsidRPr="00CF4C4E">
              <w:rPr>
                <w:b/>
                <w:bCs/>
                <w:sz w:val="20"/>
                <w:szCs w:val="20"/>
                <w:lang w:val="en-GB"/>
              </w:rPr>
              <w:t>Overall objective:</w:t>
            </w:r>
            <w:r w:rsidRPr="00CF4C4E">
              <w:rPr>
                <w:sz w:val="20"/>
                <w:szCs w:val="20"/>
                <w:lang w:val="en-GB"/>
              </w:rPr>
              <w:t xml:space="preserve"> </w:t>
            </w:r>
            <w:r w:rsidRPr="00CF4C4E">
              <w:rPr>
                <w:b/>
                <w:bCs/>
                <w:sz w:val="20"/>
                <w:szCs w:val="20"/>
                <w:lang w:val="en-GB"/>
              </w:rPr>
              <w:t>Fully protect the economy and financial system of the Republic of Serbia from the threat caused by money laundering and terrorism financing and financing of the proliferation of weapons of mass destruction, whereby the integrity of the financial and non-financial sector institutions is strengthened through public-private partnerships and risk based approach, and safety, security and rule of law are contributed to.</w:t>
            </w:r>
          </w:p>
        </w:tc>
      </w:tr>
      <w:tr w:rsidR="00F43ECD" w:rsidRPr="00CF4C4E" w:rsidTr="00DF0DDF">
        <w:trPr>
          <w:trHeight w:val="377"/>
        </w:trPr>
        <w:tc>
          <w:tcPr>
            <w:tcW w:w="14142" w:type="dxa"/>
            <w:gridSpan w:val="7"/>
            <w:tcBorders>
              <w:top w:val="double" w:sz="4" w:space="0" w:color="auto"/>
            </w:tcBorders>
            <w:shd w:val="clear" w:color="auto" w:fill="DBE5F1" w:themeFill="accent1" w:themeFillTint="33"/>
            <w:vAlign w:val="center"/>
          </w:tcPr>
          <w:p w:rsidR="00F43ECD" w:rsidRPr="00CF4C4E" w:rsidRDefault="00F43ECD" w:rsidP="00CF4C4E">
            <w:pPr>
              <w:rPr>
                <w:sz w:val="20"/>
                <w:szCs w:val="20"/>
                <w:lang w:val="en-GB"/>
              </w:rPr>
            </w:pPr>
            <w:r w:rsidRPr="00CF4C4E">
              <w:rPr>
                <w:rFonts w:eastAsia="Times New Roman"/>
                <w:color w:val="222222"/>
                <w:sz w:val="20"/>
                <w:szCs w:val="20"/>
                <w:lang w:val="en-GB"/>
              </w:rPr>
              <w:t>Institution responsible for monitoring and control of implementation: Coordination Body for the Prevention of Money Laundering and the Financing of Terrorism (AML/CFT CB)</w:t>
            </w:r>
          </w:p>
        </w:tc>
      </w:tr>
      <w:tr w:rsidR="00F35DC4" w:rsidRPr="00CF4C4E" w:rsidTr="00DB3306">
        <w:trPr>
          <w:trHeight w:val="377"/>
        </w:trPr>
        <w:tc>
          <w:tcPr>
            <w:tcW w:w="2802" w:type="dxa"/>
            <w:tcBorders>
              <w:top w:val="double" w:sz="4" w:space="0" w:color="auto"/>
            </w:tcBorders>
            <w:shd w:val="clear" w:color="auto" w:fill="D9D9D9" w:themeFill="background1" w:themeFillShade="D9"/>
          </w:tcPr>
          <w:p w:rsidR="00F43ECD" w:rsidRPr="00CF4C4E" w:rsidRDefault="00F43ECD" w:rsidP="00CF4C4E">
            <w:pPr>
              <w:rPr>
                <w:sz w:val="20"/>
                <w:szCs w:val="20"/>
                <w:lang w:val="en-GB"/>
              </w:rPr>
            </w:pPr>
            <w:r w:rsidRPr="00CF4C4E">
              <w:rPr>
                <w:sz w:val="20"/>
                <w:szCs w:val="20"/>
                <w:lang w:val="en-GB"/>
              </w:rPr>
              <w:t>Indicator(s) at the level of overall objective (indicator of effect)</w:t>
            </w:r>
          </w:p>
        </w:tc>
        <w:tc>
          <w:tcPr>
            <w:tcW w:w="2126" w:type="dxa"/>
            <w:tcBorders>
              <w:top w:val="double" w:sz="4" w:space="0" w:color="auto"/>
            </w:tcBorders>
            <w:shd w:val="clear" w:color="auto" w:fill="D9D9D9" w:themeFill="background1" w:themeFillShade="D9"/>
          </w:tcPr>
          <w:p w:rsidR="00F43ECD" w:rsidRPr="00CF4C4E" w:rsidRDefault="00F43ECD" w:rsidP="00CF4C4E">
            <w:pPr>
              <w:rPr>
                <w:sz w:val="20"/>
                <w:szCs w:val="20"/>
                <w:lang w:val="en-GB"/>
              </w:rPr>
            </w:pPr>
            <w:r w:rsidRPr="00CF4C4E">
              <w:rPr>
                <w:sz w:val="20"/>
                <w:szCs w:val="20"/>
                <w:lang w:val="en-GB"/>
              </w:rPr>
              <w:t>Unit of measurement</w:t>
            </w:r>
          </w:p>
          <w:p w:rsidR="00F43ECD" w:rsidRPr="00CF4C4E" w:rsidRDefault="00F43ECD" w:rsidP="00CF4C4E">
            <w:pPr>
              <w:rPr>
                <w:sz w:val="20"/>
                <w:szCs w:val="20"/>
                <w:lang w:val="en-GB"/>
              </w:rPr>
            </w:pPr>
          </w:p>
        </w:tc>
        <w:tc>
          <w:tcPr>
            <w:tcW w:w="1843" w:type="dxa"/>
            <w:tcBorders>
              <w:top w:val="double" w:sz="4" w:space="0" w:color="auto"/>
            </w:tcBorders>
            <w:shd w:val="clear" w:color="auto" w:fill="D9D9D9" w:themeFill="background1" w:themeFillShade="D9"/>
          </w:tcPr>
          <w:p w:rsidR="00F43ECD" w:rsidRPr="00CF4C4E" w:rsidRDefault="00F43ECD" w:rsidP="00CF4C4E">
            <w:pPr>
              <w:rPr>
                <w:sz w:val="20"/>
                <w:szCs w:val="20"/>
                <w:lang w:val="en-GB"/>
              </w:rPr>
            </w:pPr>
            <w:r w:rsidRPr="00CF4C4E">
              <w:rPr>
                <w:sz w:val="20"/>
                <w:szCs w:val="20"/>
                <w:lang w:val="en-GB"/>
              </w:rPr>
              <w:t>Source of verification</w:t>
            </w:r>
          </w:p>
        </w:tc>
        <w:tc>
          <w:tcPr>
            <w:tcW w:w="3118" w:type="dxa"/>
            <w:tcBorders>
              <w:top w:val="double" w:sz="4" w:space="0" w:color="auto"/>
            </w:tcBorders>
            <w:shd w:val="clear" w:color="auto" w:fill="D9D9D9" w:themeFill="background1" w:themeFillShade="D9"/>
          </w:tcPr>
          <w:p w:rsidR="00F43ECD" w:rsidRPr="00CF4C4E" w:rsidRDefault="00F43ECD" w:rsidP="00CF4C4E">
            <w:pPr>
              <w:rPr>
                <w:sz w:val="20"/>
                <w:szCs w:val="20"/>
                <w:lang w:val="en-GB"/>
              </w:rPr>
            </w:pPr>
            <w:r w:rsidRPr="00CF4C4E">
              <w:rPr>
                <w:sz w:val="20"/>
                <w:szCs w:val="20"/>
                <w:lang w:val="en-GB"/>
              </w:rPr>
              <w:t xml:space="preserve">Base value </w:t>
            </w:r>
          </w:p>
        </w:tc>
        <w:tc>
          <w:tcPr>
            <w:tcW w:w="1418" w:type="dxa"/>
            <w:tcBorders>
              <w:top w:val="double" w:sz="4" w:space="0" w:color="auto"/>
            </w:tcBorders>
            <w:shd w:val="clear" w:color="auto" w:fill="D9D9D9" w:themeFill="background1" w:themeFillShade="D9"/>
          </w:tcPr>
          <w:p w:rsidR="00F43ECD" w:rsidRPr="00CF4C4E" w:rsidRDefault="00F43ECD" w:rsidP="00CF4C4E">
            <w:pPr>
              <w:rPr>
                <w:sz w:val="20"/>
                <w:szCs w:val="20"/>
                <w:lang w:val="en-GB"/>
              </w:rPr>
            </w:pPr>
            <w:r w:rsidRPr="00CF4C4E">
              <w:rPr>
                <w:sz w:val="20"/>
                <w:szCs w:val="20"/>
                <w:lang w:val="en-GB"/>
              </w:rPr>
              <w:t>Base year</w:t>
            </w:r>
          </w:p>
        </w:tc>
        <w:tc>
          <w:tcPr>
            <w:tcW w:w="1701" w:type="dxa"/>
            <w:tcBorders>
              <w:top w:val="double" w:sz="4" w:space="0" w:color="auto"/>
            </w:tcBorders>
            <w:shd w:val="clear" w:color="auto" w:fill="D9D9D9" w:themeFill="background1" w:themeFillShade="D9"/>
          </w:tcPr>
          <w:p w:rsidR="00F43ECD" w:rsidRPr="00CF4C4E" w:rsidRDefault="00F43ECD" w:rsidP="00CF4C4E">
            <w:pPr>
              <w:rPr>
                <w:sz w:val="20"/>
                <w:szCs w:val="20"/>
                <w:lang w:val="en-GB"/>
              </w:rPr>
            </w:pPr>
            <w:r w:rsidRPr="00CF4C4E">
              <w:rPr>
                <w:sz w:val="20"/>
                <w:szCs w:val="20"/>
                <w:lang w:val="en-GB"/>
              </w:rPr>
              <w:t>Target value in 2022</w:t>
            </w:r>
          </w:p>
        </w:tc>
        <w:tc>
          <w:tcPr>
            <w:tcW w:w="1134" w:type="dxa"/>
            <w:tcBorders>
              <w:top w:val="double" w:sz="4" w:space="0" w:color="auto"/>
            </w:tcBorders>
            <w:shd w:val="clear" w:color="auto" w:fill="D9D9D9" w:themeFill="background1" w:themeFillShade="D9"/>
          </w:tcPr>
          <w:p w:rsidR="00F43ECD" w:rsidRPr="00CF4C4E" w:rsidRDefault="00F43ECD" w:rsidP="00CF4C4E">
            <w:pPr>
              <w:rPr>
                <w:sz w:val="20"/>
                <w:szCs w:val="20"/>
                <w:lang w:val="en-GB"/>
              </w:rPr>
            </w:pPr>
            <w:r w:rsidRPr="00CF4C4E">
              <w:rPr>
                <w:sz w:val="20"/>
                <w:szCs w:val="20"/>
                <w:lang w:val="en-GB"/>
              </w:rPr>
              <w:t>Last year of AP validity</w:t>
            </w:r>
          </w:p>
        </w:tc>
      </w:tr>
      <w:tr w:rsidR="00F35DC4" w:rsidRPr="00CF4C4E" w:rsidTr="00DB3306">
        <w:trPr>
          <w:trHeight w:val="176"/>
        </w:trPr>
        <w:tc>
          <w:tcPr>
            <w:tcW w:w="2802" w:type="dxa"/>
            <w:tcBorders>
              <w:top w:val="double" w:sz="4" w:space="0" w:color="auto"/>
              <w:bottom w:val="double" w:sz="4" w:space="0" w:color="auto"/>
            </w:tcBorders>
            <w:shd w:val="clear" w:color="auto" w:fill="FFFFFF" w:themeFill="background1"/>
          </w:tcPr>
          <w:p w:rsidR="00741126" w:rsidRPr="00CF4C4E" w:rsidRDefault="00741126" w:rsidP="00CF4C4E">
            <w:pPr>
              <w:shd w:val="clear" w:color="auto" w:fill="FFFFFF" w:themeFill="background1"/>
              <w:rPr>
                <w:color w:val="auto"/>
                <w:sz w:val="20"/>
                <w:szCs w:val="20"/>
                <w:lang w:val="en-GB"/>
              </w:rPr>
            </w:pPr>
            <w:r w:rsidRPr="00CF4C4E">
              <w:rPr>
                <w:sz w:val="20"/>
                <w:szCs w:val="20"/>
                <w:lang w:val="en-GB"/>
              </w:rPr>
              <w:t xml:space="preserve">1. </w:t>
            </w:r>
            <w:r w:rsidRPr="00CF4C4E">
              <w:rPr>
                <w:b/>
                <w:bCs/>
                <w:sz w:val="20"/>
                <w:szCs w:val="20"/>
                <w:lang w:val="en-GB"/>
              </w:rPr>
              <w:t xml:space="preserve">Assessment of technical compliance </w:t>
            </w:r>
            <w:r w:rsidRPr="00CF4C4E">
              <w:rPr>
                <w:sz w:val="20"/>
                <w:szCs w:val="20"/>
                <w:lang w:val="en-GB"/>
              </w:rPr>
              <w:t>of the AML/CFT and non-WMD proliferation system in Serbia with international (FATF) standards</w:t>
            </w:r>
            <w:r w:rsidRPr="00CF4C4E">
              <w:rPr>
                <w:color w:val="auto"/>
                <w:sz w:val="20"/>
                <w:szCs w:val="20"/>
                <w:lang w:val="en-GB"/>
              </w:rPr>
              <w:t xml:space="preserve"> </w:t>
            </w:r>
          </w:p>
          <w:p w:rsidR="00741126" w:rsidRPr="00CF4C4E" w:rsidRDefault="00741126" w:rsidP="00CF4C4E">
            <w:pPr>
              <w:shd w:val="clear" w:color="auto" w:fill="FFFFFF" w:themeFill="background1"/>
              <w:rPr>
                <w:color w:val="FF0000"/>
                <w:sz w:val="20"/>
                <w:szCs w:val="20"/>
                <w:lang w:val="en-GB"/>
              </w:rPr>
            </w:pPr>
          </w:p>
        </w:tc>
        <w:tc>
          <w:tcPr>
            <w:tcW w:w="2126" w:type="dxa"/>
            <w:tcBorders>
              <w:top w:val="double" w:sz="4" w:space="0" w:color="auto"/>
              <w:bottom w:val="double" w:sz="4" w:space="0" w:color="auto"/>
            </w:tcBorders>
            <w:shd w:val="clear" w:color="auto" w:fill="FFFFFF" w:themeFill="background1"/>
          </w:tcPr>
          <w:p w:rsidR="00F43ECD" w:rsidRPr="00CF4C4E" w:rsidRDefault="00056AE0" w:rsidP="00CF4C4E">
            <w:pPr>
              <w:shd w:val="clear" w:color="auto" w:fill="FFFFFF" w:themeFill="background1"/>
              <w:rPr>
                <w:b/>
                <w:color w:val="auto"/>
                <w:sz w:val="20"/>
                <w:szCs w:val="20"/>
                <w:lang w:val="en-GB"/>
              </w:rPr>
            </w:pPr>
            <w:r w:rsidRPr="00CF4C4E">
              <w:rPr>
                <w:b/>
                <w:bCs/>
                <w:color w:val="auto"/>
                <w:sz w:val="20"/>
                <w:szCs w:val="20"/>
                <w:lang w:val="en-GB"/>
              </w:rPr>
              <w:t>1.</w:t>
            </w:r>
            <w:r w:rsidRPr="00CF4C4E">
              <w:rPr>
                <w:color w:val="auto"/>
                <w:sz w:val="20"/>
                <w:szCs w:val="20"/>
                <w:lang w:val="en-GB"/>
              </w:rPr>
              <w:t xml:space="preserve"> </w:t>
            </w:r>
            <w:r w:rsidRPr="00CF4C4E">
              <w:rPr>
                <w:b/>
                <w:bCs/>
                <w:color w:val="auto"/>
                <w:sz w:val="20"/>
                <w:szCs w:val="20"/>
                <w:lang w:val="en-GB"/>
              </w:rPr>
              <w:t>Technical compliance assessment:</w:t>
            </w:r>
            <w:r w:rsidRPr="00CF4C4E">
              <w:rPr>
                <w:color w:val="auto"/>
                <w:sz w:val="20"/>
                <w:szCs w:val="20"/>
                <w:lang w:val="en-GB"/>
              </w:rPr>
              <w:t xml:space="preserve"> </w:t>
            </w:r>
          </w:p>
          <w:p w:rsidR="00741126" w:rsidRPr="00CF4C4E" w:rsidRDefault="00741126" w:rsidP="00CF4C4E">
            <w:pPr>
              <w:shd w:val="clear" w:color="auto" w:fill="FFFFFF" w:themeFill="background1"/>
              <w:rPr>
                <w:color w:val="auto"/>
                <w:sz w:val="20"/>
                <w:szCs w:val="20"/>
                <w:lang w:val="en-GB"/>
              </w:rPr>
            </w:pPr>
            <w:r w:rsidRPr="00CF4C4E">
              <w:rPr>
                <w:color w:val="auto"/>
                <w:sz w:val="20"/>
                <w:szCs w:val="20"/>
                <w:lang w:val="en-GB"/>
              </w:rPr>
              <w:t>a) non-compliant</w:t>
            </w:r>
          </w:p>
          <w:p w:rsidR="00741126" w:rsidRPr="00CF4C4E" w:rsidRDefault="001A4D2F" w:rsidP="00CF4C4E">
            <w:pPr>
              <w:shd w:val="clear" w:color="auto" w:fill="FFFFFF" w:themeFill="background1"/>
              <w:rPr>
                <w:color w:val="auto"/>
                <w:sz w:val="20"/>
                <w:szCs w:val="20"/>
                <w:lang w:val="en-GB"/>
              </w:rPr>
            </w:pPr>
            <w:r w:rsidRPr="00CF4C4E">
              <w:rPr>
                <w:color w:val="auto"/>
                <w:sz w:val="20"/>
                <w:szCs w:val="20"/>
                <w:lang w:val="en-GB"/>
              </w:rPr>
              <w:t>b) partially compliant</w:t>
            </w:r>
          </w:p>
          <w:p w:rsidR="00741126" w:rsidRPr="00CF4C4E" w:rsidRDefault="00741126" w:rsidP="00CF4C4E">
            <w:pPr>
              <w:shd w:val="clear" w:color="auto" w:fill="FFFFFF" w:themeFill="background1"/>
              <w:rPr>
                <w:color w:val="auto"/>
                <w:sz w:val="20"/>
                <w:szCs w:val="20"/>
                <w:lang w:val="en-GB"/>
              </w:rPr>
            </w:pPr>
            <w:r w:rsidRPr="00CF4C4E">
              <w:rPr>
                <w:color w:val="auto"/>
                <w:sz w:val="20"/>
                <w:szCs w:val="20"/>
                <w:lang w:val="en-GB"/>
              </w:rPr>
              <w:t>c) largely compliant</w:t>
            </w:r>
          </w:p>
          <w:p w:rsidR="00741126" w:rsidRPr="00CF4C4E" w:rsidRDefault="00741126" w:rsidP="00CF4C4E">
            <w:pPr>
              <w:shd w:val="clear" w:color="auto" w:fill="FFFFFF" w:themeFill="background1"/>
              <w:rPr>
                <w:color w:val="auto"/>
                <w:sz w:val="20"/>
                <w:szCs w:val="20"/>
                <w:lang w:val="en-GB"/>
              </w:rPr>
            </w:pPr>
            <w:r w:rsidRPr="00CF4C4E">
              <w:rPr>
                <w:color w:val="auto"/>
                <w:sz w:val="20"/>
                <w:szCs w:val="20"/>
                <w:lang w:val="en-GB"/>
              </w:rPr>
              <w:t>d) compliant</w:t>
            </w:r>
          </w:p>
          <w:p w:rsidR="00741126" w:rsidRPr="00CF4C4E" w:rsidRDefault="00741126" w:rsidP="00CF4C4E">
            <w:pPr>
              <w:shd w:val="clear" w:color="auto" w:fill="FFFFFF" w:themeFill="background1"/>
              <w:rPr>
                <w:color w:val="auto"/>
                <w:sz w:val="20"/>
                <w:szCs w:val="20"/>
                <w:lang w:val="en-GB"/>
              </w:rPr>
            </w:pPr>
          </w:p>
          <w:p w:rsidR="002702AB" w:rsidRPr="00CF4C4E" w:rsidRDefault="002702AB" w:rsidP="00CF4C4E">
            <w:pPr>
              <w:shd w:val="clear" w:color="auto" w:fill="FFFFFF" w:themeFill="background1"/>
              <w:rPr>
                <w:color w:val="auto"/>
                <w:sz w:val="20"/>
                <w:szCs w:val="20"/>
                <w:lang w:val="en-GB"/>
              </w:rPr>
            </w:pPr>
          </w:p>
        </w:tc>
        <w:tc>
          <w:tcPr>
            <w:tcW w:w="1843" w:type="dxa"/>
            <w:tcBorders>
              <w:top w:val="double" w:sz="4" w:space="0" w:color="auto"/>
              <w:bottom w:val="double" w:sz="4" w:space="0" w:color="auto"/>
            </w:tcBorders>
            <w:shd w:val="clear" w:color="auto" w:fill="FFFFFF" w:themeFill="background1"/>
          </w:tcPr>
          <w:p w:rsidR="002702AB" w:rsidRPr="00CF4C4E" w:rsidRDefault="002702AB" w:rsidP="00CF4C4E">
            <w:pPr>
              <w:rPr>
                <w:color w:val="auto"/>
                <w:sz w:val="20"/>
                <w:szCs w:val="20"/>
                <w:lang w:val="en-GB"/>
              </w:rPr>
            </w:pPr>
            <w:r w:rsidRPr="00CF4C4E">
              <w:rPr>
                <w:b/>
                <w:bCs/>
                <w:color w:val="auto"/>
                <w:sz w:val="20"/>
                <w:szCs w:val="20"/>
                <w:lang w:val="en-GB"/>
              </w:rPr>
              <w:t>1.</w:t>
            </w:r>
            <w:r w:rsidRPr="00CF4C4E">
              <w:rPr>
                <w:color w:val="auto"/>
                <w:sz w:val="20"/>
                <w:szCs w:val="20"/>
                <w:lang w:val="en-GB"/>
              </w:rPr>
              <w:t xml:space="preserve"> MoneyVal Fifth Round </w:t>
            </w:r>
            <w:r w:rsidRPr="00CF4C4E">
              <w:rPr>
                <w:b/>
                <w:bCs/>
                <w:color w:val="auto"/>
                <w:sz w:val="20"/>
                <w:szCs w:val="20"/>
                <w:lang w:val="en-GB"/>
              </w:rPr>
              <w:t xml:space="preserve">Mutual Evaluation Report </w:t>
            </w:r>
            <w:r w:rsidRPr="00CF4C4E">
              <w:rPr>
                <w:color w:val="auto"/>
                <w:sz w:val="20"/>
                <w:szCs w:val="20"/>
                <w:lang w:val="en-GB"/>
              </w:rPr>
              <w:t>for Serbia</w:t>
            </w:r>
          </w:p>
          <w:p w:rsidR="002702AB" w:rsidRPr="00CF4C4E" w:rsidRDefault="002702AB" w:rsidP="00CF4C4E">
            <w:pPr>
              <w:shd w:val="clear" w:color="auto" w:fill="FFFFFF" w:themeFill="background1"/>
              <w:rPr>
                <w:color w:val="auto"/>
                <w:sz w:val="20"/>
                <w:szCs w:val="20"/>
                <w:lang w:val="en-GB"/>
              </w:rPr>
            </w:pPr>
            <w:r w:rsidRPr="00CF4C4E">
              <w:rPr>
                <w:color w:val="auto"/>
                <w:sz w:val="20"/>
                <w:szCs w:val="20"/>
                <w:lang w:val="en-GB"/>
              </w:rPr>
              <w:t xml:space="preserve"> </w:t>
            </w:r>
          </w:p>
        </w:tc>
        <w:tc>
          <w:tcPr>
            <w:tcW w:w="3118" w:type="dxa"/>
            <w:tcBorders>
              <w:top w:val="double" w:sz="4" w:space="0" w:color="auto"/>
              <w:bottom w:val="double" w:sz="4" w:space="0" w:color="auto"/>
            </w:tcBorders>
            <w:shd w:val="clear" w:color="auto" w:fill="FFFFFF" w:themeFill="background1"/>
          </w:tcPr>
          <w:p w:rsidR="002702AB" w:rsidRPr="00CF4C4E" w:rsidRDefault="002702AB" w:rsidP="00CF4C4E">
            <w:pPr>
              <w:rPr>
                <w:sz w:val="20"/>
                <w:szCs w:val="20"/>
                <w:lang w:val="en-GB"/>
              </w:rPr>
            </w:pPr>
            <w:r w:rsidRPr="00CF4C4E">
              <w:rPr>
                <w:b/>
                <w:bCs/>
                <w:sz w:val="20"/>
                <w:szCs w:val="20"/>
                <w:lang w:val="en-GB"/>
              </w:rPr>
              <w:t>1.</w:t>
            </w:r>
            <w:r w:rsidRPr="00CF4C4E">
              <w:rPr>
                <w:sz w:val="20"/>
                <w:szCs w:val="20"/>
                <w:lang w:val="en-GB"/>
              </w:rPr>
              <w:t xml:space="preserve"> </w:t>
            </w:r>
            <w:r w:rsidRPr="00CF4C4E">
              <w:rPr>
                <w:b/>
                <w:bCs/>
                <w:sz w:val="20"/>
                <w:szCs w:val="20"/>
                <w:lang w:val="en-GB"/>
              </w:rPr>
              <w:t>Technical compliance assessment:</w:t>
            </w:r>
            <w:r w:rsidRPr="00CF4C4E">
              <w:rPr>
                <w:sz w:val="20"/>
                <w:szCs w:val="20"/>
                <w:lang w:val="en-GB"/>
              </w:rPr>
              <w:t xml:space="preserve"> From 2016 to 2019, Serbia achieved exceptional progress: Of the 40 FATF Recommendations, i.e. standards - with respect to 17 FATF Recommendation, Serbian was rated in 2016 as </w:t>
            </w:r>
            <w:r w:rsidRPr="00CF4C4E">
              <w:rPr>
                <w:i/>
                <w:iCs/>
                <w:sz w:val="20"/>
                <w:szCs w:val="20"/>
                <w:lang w:val="en-GB"/>
              </w:rPr>
              <w:t xml:space="preserve">non-compliant (1) </w:t>
            </w:r>
            <w:r w:rsidRPr="00CF4C4E">
              <w:rPr>
                <w:sz w:val="20"/>
                <w:szCs w:val="20"/>
                <w:lang w:val="en-GB"/>
              </w:rPr>
              <w:t xml:space="preserve">and </w:t>
            </w:r>
            <w:r w:rsidRPr="00CF4C4E">
              <w:rPr>
                <w:i/>
                <w:iCs/>
                <w:sz w:val="20"/>
                <w:szCs w:val="20"/>
                <w:lang w:val="en-GB"/>
              </w:rPr>
              <w:t xml:space="preserve">partially compliant (16) </w:t>
            </w:r>
            <w:r w:rsidRPr="00CF4C4E">
              <w:rPr>
                <w:sz w:val="20"/>
                <w:szCs w:val="20"/>
                <w:lang w:val="en-GB"/>
              </w:rPr>
              <w:t xml:space="preserve">(unsatisfactory assessments). Until 2019, these ratings were upgraded to </w:t>
            </w:r>
            <w:r w:rsidRPr="00CF4C4E">
              <w:rPr>
                <w:i/>
                <w:iCs/>
                <w:sz w:val="20"/>
                <w:szCs w:val="20"/>
                <w:lang w:val="en-GB"/>
              </w:rPr>
              <w:t xml:space="preserve">largely compliant </w:t>
            </w:r>
            <w:r w:rsidRPr="00CF4C4E">
              <w:rPr>
                <w:sz w:val="20"/>
                <w:szCs w:val="20"/>
                <w:lang w:val="en-GB"/>
              </w:rPr>
              <w:t xml:space="preserve">or </w:t>
            </w:r>
            <w:r w:rsidRPr="00CF4C4E">
              <w:rPr>
                <w:i/>
                <w:iCs/>
                <w:sz w:val="20"/>
                <w:szCs w:val="20"/>
                <w:lang w:val="en-GB"/>
              </w:rPr>
              <w:t xml:space="preserve">compliant </w:t>
            </w:r>
            <w:r w:rsidRPr="00CF4C4E">
              <w:rPr>
                <w:sz w:val="20"/>
                <w:szCs w:val="20"/>
                <w:lang w:val="en-GB"/>
              </w:rPr>
              <w:t>(satisfactory assessments) with respect to 13 out of the above 17 FATF Recommendations</w:t>
            </w:r>
          </w:p>
        </w:tc>
        <w:tc>
          <w:tcPr>
            <w:tcW w:w="1418" w:type="dxa"/>
            <w:tcBorders>
              <w:top w:val="double" w:sz="4" w:space="0" w:color="auto"/>
              <w:bottom w:val="double" w:sz="4" w:space="0" w:color="auto"/>
            </w:tcBorders>
            <w:shd w:val="clear" w:color="auto" w:fill="FFFFFF" w:themeFill="background1"/>
          </w:tcPr>
          <w:p w:rsidR="00F43ECD" w:rsidRPr="00CF4C4E" w:rsidRDefault="002702AB" w:rsidP="00CF4C4E">
            <w:pPr>
              <w:shd w:val="clear" w:color="auto" w:fill="FFFFFF" w:themeFill="background1"/>
              <w:rPr>
                <w:color w:val="auto"/>
                <w:sz w:val="20"/>
                <w:szCs w:val="20"/>
                <w:lang w:val="en-GB"/>
              </w:rPr>
            </w:pPr>
            <w:r w:rsidRPr="00CF4C4E">
              <w:rPr>
                <w:b/>
                <w:bCs/>
                <w:color w:val="auto"/>
                <w:sz w:val="20"/>
                <w:szCs w:val="20"/>
                <w:lang w:val="en-GB"/>
              </w:rPr>
              <w:t>1.</w:t>
            </w:r>
            <w:r w:rsidRPr="00CF4C4E">
              <w:rPr>
                <w:color w:val="auto"/>
                <w:sz w:val="20"/>
                <w:szCs w:val="20"/>
                <w:lang w:val="en-GB"/>
              </w:rPr>
              <w:t xml:space="preserve"> </w:t>
            </w:r>
            <w:r w:rsidRPr="00CF4C4E">
              <w:rPr>
                <w:b/>
                <w:bCs/>
                <w:color w:val="auto"/>
                <w:sz w:val="20"/>
                <w:szCs w:val="20"/>
                <w:lang w:val="en-GB"/>
              </w:rPr>
              <w:t>Technical compliance assessment:</w:t>
            </w:r>
            <w:r w:rsidRPr="00CF4C4E">
              <w:rPr>
                <w:color w:val="auto"/>
                <w:sz w:val="20"/>
                <w:szCs w:val="20"/>
                <w:lang w:val="en-GB"/>
              </w:rPr>
              <w:t xml:space="preserve"> 2019</w:t>
            </w:r>
          </w:p>
          <w:p w:rsidR="002702AB" w:rsidRPr="00CF4C4E" w:rsidRDefault="002702AB" w:rsidP="00CF4C4E">
            <w:pPr>
              <w:shd w:val="clear" w:color="auto" w:fill="FFFFFF" w:themeFill="background1"/>
              <w:rPr>
                <w:color w:val="auto"/>
                <w:sz w:val="20"/>
                <w:szCs w:val="20"/>
                <w:lang w:val="en-GB"/>
              </w:rPr>
            </w:pPr>
          </w:p>
        </w:tc>
        <w:tc>
          <w:tcPr>
            <w:tcW w:w="1701" w:type="dxa"/>
            <w:tcBorders>
              <w:top w:val="double" w:sz="4" w:space="0" w:color="auto"/>
              <w:bottom w:val="double" w:sz="4" w:space="0" w:color="auto"/>
            </w:tcBorders>
            <w:shd w:val="clear" w:color="auto" w:fill="FFFFFF" w:themeFill="background1"/>
          </w:tcPr>
          <w:p w:rsidR="002702AB" w:rsidRPr="00CF4C4E" w:rsidRDefault="002702AB" w:rsidP="00CF4C4E">
            <w:pPr>
              <w:shd w:val="clear" w:color="auto" w:fill="FFFFFF" w:themeFill="background1"/>
              <w:rPr>
                <w:color w:val="auto"/>
                <w:sz w:val="20"/>
                <w:szCs w:val="20"/>
                <w:lang w:val="en-GB"/>
              </w:rPr>
            </w:pPr>
            <w:r w:rsidRPr="00CF4C4E">
              <w:rPr>
                <w:b/>
                <w:bCs/>
                <w:color w:val="auto"/>
                <w:sz w:val="20"/>
                <w:szCs w:val="20"/>
                <w:lang w:val="en-GB"/>
              </w:rPr>
              <w:t>1.</w:t>
            </w:r>
            <w:r w:rsidRPr="00CF4C4E">
              <w:rPr>
                <w:color w:val="auto"/>
                <w:sz w:val="20"/>
                <w:szCs w:val="20"/>
                <w:lang w:val="en-GB"/>
              </w:rPr>
              <w:t xml:space="preserve"> </w:t>
            </w:r>
            <w:r w:rsidRPr="00CF4C4E">
              <w:rPr>
                <w:b/>
                <w:bCs/>
                <w:color w:val="auto"/>
                <w:sz w:val="20"/>
                <w:szCs w:val="20"/>
                <w:lang w:val="en-GB"/>
              </w:rPr>
              <w:t>Technical compliance assessment:</w:t>
            </w:r>
            <w:r w:rsidRPr="00CF4C4E">
              <w:rPr>
                <w:color w:val="auto"/>
                <w:sz w:val="20"/>
                <w:szCs w:val="20"/>
                <w:lang w:val="en-GB"/>
              </w:rPr>
              <w:t xml:space="preserve"> Satisfactory ratings for all 40 FATF Recommendations (i.e. </w:t>
            </w:r>
            <w:r w:rsidRPr="00CF4C4E">
              <w:rPr>
                <w:i/>
                <w:iCs/>
                <w:color w:val="auto"/>
                <w:sz w:val="20"/>
                <w:szCs w:val="20"/>
                <w:lang w:val="en-GB"/>
              </w:rPr>
              <w:t xml:space="preserve">compliant </w:t>
            </w:r>
            <w:r w:rsidRPr="00CF4C4E">
              <w:rPr>
                <w:color w:val="auto"/>
                <w:sz w:val="20"/>
                <w:szCs w:val="20"/>
                <w:lang w:val="en-GB"/>
              </w:rPr>
              <w:t xml:space="preserve">or </w:t>
            </w:r>
            <w:r w:rsidRPr="00CF4C4E">
              <w:rPr>
                <w:i/>
                <w:iCs/>
                <w:color w:val="auto"/>
                <w:sz w:val="20"/>
                <w:szCs w:val="20"/>
                <w:lang w:val="en-GB"/>
              </w:rPr>
              <w:t>largely compliant</w:t>
            </w:r>
            <w:r w:rsidRPr="00CF4C4E">
              <w:rPr>
                <w:color w:val="auto"/>
                <w:sz w:val="20"/>
                <w:szCs w:val="20"/>
                <w:lang w:val="en-GB"/>
              </w:rPr>
              <w:t xml:space="preserve">) </w:t>
            </w:r>
          </w:p>
          <w:p w:rsidR="00F43ECD" w:rsidRPr="00CF4C4E" w:rsidRDefault="00F43ECD" w:rsidP="00CF4C4E">
            <w:pPr>
              <w:shd w:val="clear" w:color="auto" w:fill="FFFFFF" w:themeFill="background1"/>
              <w:rPr>
                <w:color w:val="auto"/>
                <w:sz w:val="20"/>
                <w:szCs w:val="20"/>
                <w:lang w:val="en-GB"/>
              </w:rPr>
            </w:pPr>
          </w:p>
        </w:tc>
        <w:tc>
          <w:tcPr>
            <w:tcW w:w="1134" w:type="dxa"/>
            <w:tcBorders>
              <w:top w:val="double" w:sz="4" w:space="0" w:color="auto"/>
              <w:bottom w:val="double" w:sz="4" w:space="0" w:color="auto"/>
            </w:tcBorders>
            <w:shd w:val="clear" w:color="auto" w:fill="FFFFFF" w:themeFill="background1"/>
          </w:tcPr>
          <w:p w:rsidR="00F43ECD" w:rsidRPr="00CF4C4E" w:rsidRDefault="00741126" w:rsidP="00CF4C4E">
            <w:pPr>
              <w:shd w:val="clear" w:color="auto" w:fill="FFFFFF" w:themeFill="background1"/>
              <w:rPr>
                <w:b/>
                <w:sz w:val="20"/>
                <w:szCs w:val="20"/>
                <w:lang w:val="en-GB"/>
              </w:rPr>
            </w:pPr>
            <w:r w:rsidRPr="00CF4C4E">
              <w:rPr>
                <w:b/>
                <w:bCs/>
                <w:sz w:val="20"/>
                <w:szCs w:val="20"/>
                <w:lang w:val="en-GB"/>
              </w:rPr>
              <w:t>2022</w:t>
            </w:r>
          </w:p>
        </w:tc>
      </w:tr>
      <w:tr w:rsidR="00EB4EE8" w:rsidRPr="00CF4C4E" w:rsidTr="00DB3306">
        <w:trPr>
          <w:trHeight w:val="176"/>
        </w:trPr>
        <w:tc>
          <w:tcPr>
            <w:tcW w:w="2802" w:type="dxa"/>
            <w:tcBorders>
              <w:top w:val="double" w:sz="4" w:space="0" w:color="auto"/>
              <w:bottom w:val="double" w:sz="4" w:space="0" w:color="auto"/>
            </w:tcBorders>
            <w:shd w:val="clear" w:color="auto" w:fill="FFFFFF" w:themeFill="background1"/>
          </w:tcPr>
          <w:p w:rsidR="00EB4EE8" w:rsidRPr="00CF4C4E" w:rsidRDefault="00EB4EE8" w:rsidP="00CF4C4E">
            <w:pPr>
              <w:shd w:val="clear" w:color="auto" w:fill="FFFFFF" w:themeFill="background1"/>
              <w:rPr>
                <w:color w:val="auto"/>
                <w:sz w:val="20"/>
                <w:szCs w:val="20"/>
                <w:lang w:val="en-GB"/>
              </w:rPr>
            </w:pPr>
            <w:r w:rsidRPr="00CF4C4E">
              <w:rPr>
                <w:color w:val="auto"/>
                <w:sz w:val="20"/>
                <w:szCs w:val="20"/>
                <w:lang w:val="en-GB"/>
              </w:rPr>
              <w:t xml:space="preserve">2. </w:t>
            </w:r>
            <w:r w:rsidRPr="00CF4C4E">
              <w:rPr>
                <w:b/>
                <w:bCs/>
                <w:color w:val="auto"/>
                <w:sz w:val="20"/>
                <w:szCs w:val="20"/>
                <w:lang w:val="en-GB"/>
              </w:rPr>
              <w:t xml:space="preserve">Assessment of effectiveness </w:t>
            </w:r>
            <w:r w:rsidRPr="00CF4C4E">
              <w:rPr>
                <w:color w:val="auto"/>
                <w:sz w:val="20"/>
                <w:szCs w:val="20"/>
                <w:lang w:val="en-GB"/>
              </w:rPr>
              <w:t>of the AML/CFT and non-WMD proliferation system in Serbia with international (FATF) standards;</w:t>
            </w:r>
          </w:p>
          <w:p w:rsidR="00EB4EE8" w:rsidRPr="00CF4C4E" w:rsidRDefault="00EB4EE8" w:rsidP="00CF4C4E">
            <w:pPr>
              <w:shd w:val="clear" w:color="auto" w:fill="FFFFFF" w:themeFill="background1"/>
              <w:rPr>
                <w:color w:val="FF0000"/>
                <w:sz w:val="20"/>
                <w:szCs w:val="20"/>
                <w:lang w:val="en-GB"/>
              </w:rPr>
            </w:pPr>
          </w:p>
          <w:p w:rsidR="00EB4EE8" w:rsidRPr="00CF4C4E" w:rsidRDefault="00EB4EE8" w:rsidP="00CF4C4E">
            <w:pPr>
              <w:shd w:val="clear" w:color="auto" w:fill="FFFFFF" w:themeFill="background1"/>
              <w:rPr>
                <w:sz w:val="20"/>
                <w:szCs w:val="20"/>
                <w:lang w:val="en-GB"/>
              </w:rPr>
            </w:pPr>
          </w:p>
        </w:tc>
        <w:tc>
          <w:tcPr>
            <w:tcW w:w="2126" w:type="dxa"/>
            <w:tcBorders>
              <w:top w:val="double" w:sz="4" w:space="0" w:color="auto"/>
              <w:bottom w:val="double" w:sz="4" w:space="0" w:color="auto"/>
            </w:tcBorders>
            <w:shd w:val="clear" w:color="auto" w:fill="FFFFFF" w:themeFill="background1"/>
          </w:tcPr>
          <w:p w:rsidR="00EB4EE8" w:rsidRPr="00CF4C4E" w:rsidRDefault="00EB4EE8" w:rsidP="00CF4C4E">
            <w:pPr>
              <w:shd w:val="clear" w:color="auto" w:fill="FFFFFF" w:themeFill="background1"/>
              <w:rPr>
                <w:b/>
                <w:color w:val="auto"/>
                <w:sz w:val="20"/>
                <w:szCs w:val="20"/>
                <w:lang w:val="en-GB"/>
              </w:rPr>
            </w:pPr>
            <w:r w:rsidRPr="00CF4C4E">
              <w:rPr>
                <w:b/>
                <w:bCs/>
                <w:color w:val="auto"/>
                <w:sz w:val="20"/>
                <w:szCs w:val="20"/>
                <w:lang w:val="en-GB"/>
              </w:rPr>
              <w:t>2.</w:t>
            </w:r>
            <w:r w:rsidRPr="00CF4C4E">
              <w:rPr>
                <w:color w:val="auto"/>
                <w:sz w:val="20"/>
                <w:szCs w:val="20"/>
                <w:lang w:val="en-GB"/>
              </w:rPr>
              <w:t xml:space="preserve"> </w:t>
            </w:r>
            <w:r w:rsidRPr="00CF4C4E">
              <w:rPr>
                <w:b/>
                <w:bCs/>
                <w:color w:val="auto"/>
                <w:sz w:val="20"/>
                <w:szCs w:val="20"/>
                <w:lang w:val="en-GB"/>
              </w:rPr>
              <w:t>Effectiveness assessment</w:t>
            </w:r>
          </w:p>
          <w:p w:rsidR="00EB4EE8" w:rsidRPr="00CF4C4E" w:rsidRDefault="00EB4EE8" w:rsidP="00CF4C4E">
            <w:pPr>
              <w:shd w:val="clear" w:color="auto" w:fill="FFFFFF" w:themeFill="background1"/>
              <w:rPr>
                <w:color w:val="auto"/>
                <w:sz w:val="20"/>
                <w:szCs w:val="20"/>
                <w:lang w:val="en-GB"/>
              </w:rPr>
            </w:pPr>
            <w:r w:rsidRPr="00CF4C4E">
              <w:rPr>
                <w:color w:val="auto"/>
                <w:sz w:val="20"/>
                <w:szCs w:val="20"/>
                <w:lang w:val="en-GB"/>
              </w:rPr>
              <w:t>a) low level of effectiveness</w:t>
            </w:r>
          </w:p>
          <w:p w:rsidR="00EB4EE8" w:rsidRPr="00CF4C4E" w:rsidRDefault="00EB4EE8" w:rsidP="00CF4C4E">
            <w:pPr>
              <w:shd w:val="clear" w:color="auto" w:fill="FFFFFF" w:themeFill="background1"/>
              <w:rPr>
                <w:color w:val="auto"/>
                <w:sz w:val="20"/>
                <w:szCs w:val="20"/>
                <w:lang w:val="en-GB"/>
              </w:rPr>
            </w:pPr>
            <w:r w:rsidRPr="00CF4C4E">
              <w:rPr>
                <w:color w:val="auto"/>
                <w:sz w:val="20"/>
                <w:szCs w:val="20"/>
                <w:lang w:val="en-GB"/>
              </w:rPr>
              <w:t>b) moderate level of effectiveness</w:t>
            </w:r>
          </w:p>
          <w:p w:rsidR="00EB4EE8" w:rsidRPr="00CF4C4E" w:rsidRDefault="00EB4EE8" w:rsidP="00CF4C4E">
            <w:pPr>
              <w:shd w:val="clear" w:color="auto" w:fill="FFFFFF" w:themeFill="background1"/>
              <w:rPr>
                <w:color w:val="auto"/>
                <w:sz w:val="20"/>
                <w:szCs w:val="20"/>
                <w:lang w:val="en-GB"/>
              </w:rPr>
            </w:pPr>
            <w:r w:rsidRPr="00CF4C4E">
              <w:rPr>
                <w:color w:val="auto"/>
                <w:sz w:val="20"/>
                <w:szCs w:val="20"/>
                <w:lang w:val="en-GB"/>
              </w:rPr>
              <w:t>c) substantial level of effectiveness</w:t>
            </w:r>
          </w:p>
          <w:p w:rsidR="00EB4EE8" w:rsidRPr="00CF4C4E" w:rsidRDefault="00EB4EE8" w:rsidP="00CF4C4E">
            <w:pPr>
              <w:shd w:val="clear" w:color="auto" w:fill="FFFFFF" w:themeFill="background1"/>
              <w:rPr>
                <w:color w:val="auto"/>
                <w:sz w:val="20"/>
                <w:szCs w:val="20"/>
                <w:lang w:val="en-GB"/>
              </w:rPr>
            </w:pPr>
            <w:r w:rsidRPr="00CF4C4E">
              <w:rPr>
                <w:color w:val="auto"/>
                <w:sz w:val="20"/>
                <w:szCs w:val="20"/>
                <w:lang w:val="en-GB"/>
              </w:rPr>
              <w:lastRenderedPageBreak/>
              <w:t>d) high level of effectiveness</w:t>
            </w:r>
          </w:p>
        </w:tc>
        <w:tc>
          <w:tcPr>
            <w:tcW w:w="1843" w:type="dxa"/>
            <w:tcBorders>
              <w:top w:val="double" w:sz="4" w:space="0" w:color="auto"/>
              <w:bottom w:val="double" w:sz="4" w:space="0" w:color="auto"/>
            </w:tcBorders>
            <w:shd w:val="clear" w:color="auto" w:fill="FFFFFF" w:themeFill="background1"/>
          </w:tcPr>
          <w:p w:rsidR="00EB4EE8" w:rsidRPr="00CF4C4E" w:rsidRDefault="00EB4EE8" w:rsidP="00CF4C4E">
            <w:pPr>
              <w:shd w:val="clear" w:color="auto" w:fill="FFFFFF" w:themeFill="background1"/>
              <w:rPr>
                <w:color w:val="auto"/>
                <w:sz w:val="20"/>
                <w:szCs w:val="20"/>
                <w:lang w:val="en-GB"/>
              </w:rPr>
            </w:pPr>
            <w:r w:rsidRPr="00CF4C4E">
              <w:rPr>
                <w:b/>
                <w:bCs/>
                <w:color w:val="auto"/>
                <w:sz w:val="20"/>
                <w:szCs w:val="20"/>
                <w:lang w:val="en-GB"/>
              </w:rPr>
              <w:lastRenderedPageBreak/>
              <w:t>2.</w:t>
            </w:r>
            <w:r w:rsidRPr="00CF4C4E">
              <w:rPr>
                <w:color w:val="auto"/>
                <w:sz w:val="20"/>
                <w:szCs w:val="20"/>
                <w:lang w:val="en-GB"/>
              </w:rPr>
              <w:t xml:space="preserve"> MoneyVal Fifth Round </w:t>
            </w:r>
            <w:r w:rsidRPr="00CF4C4E">
              <w:rPr>
                <w:b/>
                <w:bCs/>
                <w:color w:val="auto"/>
                <w:sz w:val="20"/>
                <w:szCs w:val="20"/>
                <w:lang w:val="en-GB"/>
              </w:rPr>
              <w:t xml:space="preserve">Mutual Evaluation Report </w:t>
            </w:r>
            <w:r w:rsidRPr="00CF4C4E">
              <w:rPr>
                <w:color w:val="auto"/>
                <w:sz w:val="20"/>
                <w:szCs w:val="20"/>
                <w:lang w:val="en-GB"/>
              </w:rPr>
              <w:t>for Serbia</w:t>
            </w:r>
          </w:p>
          <w:p w:rsidR="00EB4EE8" w:rsidRPr="00CF4C4E" w:rsidRDefault="00EB4EE8" w:rsidP="00CF4C4E">
            <w:pPr>
              <w:rPr>
                <w:b/>
                <w:color w:val="auto"/>
                <w:sz w:val="20"/>
                <w:szCs w:val="20"/>
                <w:lang w:val="en-GB"/>
              </w:rPr>
            </w:pPr>
          </w:p>
        </w:tc>
        <w:tc>
          <w:tcPr>
            <w:tcW w:w="3118" w:type="dxa"/>
            <w:tcBorders>
              <w:top w:val="double" w:sz="4" w:space="0" w:color="auto"/>
              <w:bottom w:val="double" w:sz="4" w:space="0" w:color="auto"/>
            </w:tcBorders>
            <w:shd w:val="clear" w:color="auto" w:fill="FFFFFF" w:themeFill="background1"/>
          </w:tcPr>
          <w:p w:rsidR="00EB4EE8" w:rsidRPr="00CF4C4E" w:rsidRDefault="00EB4EE8" w:rsidP="00CF4C4E">
            <w:pPr>
              <w:shd w:val="clear" w:color="auto" w:fill="FFFFFF" w:themeFill="background1"/>
              <w:rPr>
                <w:color w:val="auto"/>
                <w:sz w:val="20"/>
                <w:szCs w:val="20"/>
                <w:lang w:val="en-GB"/>
              </w:rPr>
            </w:pPr>
            <w:r w:rsidRPr="00CF4C4E">
              <w:rPr>
                <w:b/>
                <w:bCs/>
                <w:sz w:val="20"/>
                <w:szCs w:val="20"/>
                <w:lang w:val="en-GB"/>
              </w:rPr>
              <w:t>2.</w:t>
            </w:r>
            <w:r w:rsidRPr="00CF4C4E">
              <w:rPr>
                <w:sz w:val="20"/>
                <w:szCs w:val="20"/>
                <w:lang w:val="en-GB"/>
              </w:rPr>
              <w:t xml:space="preserve"> </w:t>
            </w:r>
            <w:r w:rsidRPr="00CF4C4E">
              <w:rPr>
                <w:b/>
                <w:bCs/>
                <w:sz w:val="20"/>
                <w:szCs w:val="20"/>
                <w:lang w:val="en-GB"/>
              </w:rPr>
              <w:t>Effectiveness:</w:t>
            </w:r>
            <w:r w:rsidRPr="00CF4C4E">
              <w:rPr>
                <w:sz w:val="20"/>
                <w:szCs w:val="20"/>
                <w:lang w:val="en-GB"/>
              </w:rPr>
              <w:t xml:space="preserve"> The base value was determined in 2016, partial assessment for the </w:t>
            </w:r>
            <w:r w:rsidRPr="00CF4C4E">
              <w:rPr>
                <w:b/>
                <w:bCs/>
                <w:sz w:val="20"/>
                <w:szCs w:val="20"/>
                <w:lang w:val="en-GB"/>
              </w:rPr>
              <w:t>strategic issues</w:t>
            </w:r>
            <w:r w:rsidRPr="00CF4C4E">
              <w:rPr>
                <w:sz w:val="20"/>
                <w:szCs w:val="20"/>
                <w:lang w:val="en-GB"/>
              </w:rPr>
              <w:t xml:space="preserve"> (7 of 11 Immediate Outcomes under the FATF Methodology) was given by FATF in June 2019 finding that Serbia had demonstrated progress in the </w:t>
            </w:r>
            <w:r w:rsidRPr="00CF4C4E">
              <w:rPr>
                <w:sz w:val="20"/>
                <w:szCs w:val="20"/>
                <w:lang w:val="en-GB"/>
              </w:rPr>
              <w:lastRenderedPageBreak/>
              <w:t>specific areas.</w:t>
            </w:r>
          </w:p>
        </w:tc>
        <w:tc>
          <w:tcPr>
            <w:tcW w:w="1418" w:type="dxa"/>
            <w:tcBorders>
              <w:top w:val="double" w:sz="4" w:space="0" w:color="auto"/>
              <w:bottom w:val="double" w:sz="4" w:space="0" w:color="auto"/>
            </w:tcBorders>
            <w:shd w:val="clear" w:color="auto" w:fill="FFFFFF" w:themeFill="background1"/>
          </w:tcPr>
          <w:p w:rsidR="00EB4EE8" w:rsidRPr="00CF4C4E" w:rsidRDefault="00EB4EE8" w:rsidP="00CF4C4E">
            <w:pPr>
              <w:shd w:val="clear" w:color="auto" w:fill="FFFFFF" w:themeFill="background1"/>
              <w:rPr>
                <w:color w:val="auto"/>
                <w:sz w:val="20"/>
                <w:szCs w:val="20"/>
                <w:lang w:val="en-GB"/>
              </w:rPr>
            </w:pPr>
            <w:r w:rsidRPr="00CF4C4E">
              <w:rPr>
                <w:b/>
                <w:bCs/>
                <w:color w:val="auto"/>
                <w:sz w:val="20"/>
                <w:szCs w:val="20"/>
                <w:lang w:val="en-GB"/>
              </w:rPr>
              <w:lastRenderedPageBreak/>
              <w:t>2.</w:t>
            </w:r>
            <w:r w:rsidRPr="00CF4C4E">
              <w:rPr>
                <w:color w:val="auto"/>
                <w:sz w:val="20"/>
                <w:szCs w:val="20"/>
                <w:lang w:val="en-GB"/>
              </w:rPr>
              <w:t xml:space="preserve"> </w:t>
            </w:r>
            <w:r w:rsidRPr="00CF4C4E">
              <w:rPr>
                <w:b/>
                <w:bCs/>
                <w:color w:val="auto"/>
                <w:sz w:val="20"/>
                <w:szCs w:val="20"/>
                <w:lang w:val="en-GB"/>
              </w:rPr>
              <w:t>Effectiveness:</w:t>
            </w:r>
            <w:r w:rsidRPr="00CF4C4E">
              <w:rPr>
                <w:color w:val="auto"/>
                <w:sz w:val="20"/>
                <w:szCs w:val="20"/>
                <w:lang w:val="en-GB"/>
              </w:rPr>
              <w:t xml:space="preserve"> 2016, 2019</w:t>
            </w:r>
          </w:p>
          <w:p w:rsidR="00EB4EE8" w:rsidRPr="00CF4C4E" w:rsidRDefault="00EB4EE8" w:rsidP="00CF4C4E">
            <w:pPr>
              <w:shd w:val="clear" w:color="auto" w:fill="FFFFFF" w:themeFill="background1"/>
              <w:rPr>
                <w:b/>
                <w:color w:val="auto"/>
                <w:sz w:val="20"/>
                <w:szCs w:val="20"/>
                <w:lang w:val="en-GB"/>
              </w:rPr>
            </w:pPr>
          </w:p>
        </w:tc>
        <w:tc>
          <w:tcPr>
            <w:tcW w:w="1701" w:type="dxa"/>
            <w:tcBorders>
              <w:top w:val="double" w:sz="4" w:space="0" w:color="auto"/>
              <w:bottom w:val="double" w:sz="4" w:space="0" w:color="auto"/>
            </w:tcBorders>
            <w:shd w:val="clear" w:color="auto" w:fill="FFFFFF" w:themeFill="background1"/>
          </w:tcPr>
          <w:p w:rsidR="00EB4EE8" w:rsidRPr="00CF4C4E" w:rsidRDefault="00EB4EE8" w:rsidP="00CF4C4E">
            <w:pPr>
              <w:shd w:val="clear" w:color="auto" w:fill="FFFFFF" w:themeFill="background1"/>
              <w:rPr>
                <w:color w:val="auto"/>
                <w:sz w:val="20"/>
                <w:szCs w:val="20"/>
                <w:lang w:val="en-GB"/>
              </w:rPr>
            </w:pPr>
            <w:r w:rsidRPr="00CF4C4E">
              <w:rPr>
                <w:b/>
                <w:bCs/>
                <w:color w:val="auto"/>
                <w:sz w:val="20"/>
                <w:szCs w:val="20"/>
                <w:lang w:val="en-GB"/>
              </w:rPr>
              <w:t>2.</w:t>
            </w:r>
            <w:r w:rsidRPr="00CF4C4E">
              <w:rPr>
                <w:color w:val="auto"/>
                <w:sz w:val="20"/>
                <w:szCs w:val="20"/>
                <w:lang w:val="en-GB"/>
              </w:rPr>
              <w:t xml:space="preserve"> </w:t>
            </w:r>
            <w:r w:rsidRPr="00CF4C4E">
              <w:rPr>
                <w:b/>
                <w:bCs/>
                <w:color w:val="auto"/>
                <w:sz w:val="20"/>
                <w:szCs w:val="20"/>
                <w:lang w:val="en-GB"/>
              </w:rPr>
              <w:t>Effectiveness</w:t>
            </w:r>
            <w:r w:rsidRPr="00CF4C4E">
              <w:rPr>
                <w:color w:val="auto"/>
                <w:sz w:val="20"/>
                <w:szCs w:val="20"/>
                <w:lang w:val="en-GB"/>
              </w:rPr>
              <w:t>: positive and tangible impact on all 11 Immediate Outcomes under the FATF Methodology</w:t>
            </w:r>
          </w:p>
          <w:p w:rsidR="00EB4EE8" w:rsidRPr="00CF4C4E" w:rsidRDefault="00EB4EE8" w:rsidP="00CF4C4E">
            <w:pPr>
              <w:shd w:val="clear" w:color="auto" w:fill="FFFFFF" w:themeFill="background1"/>
              <w:rPr>
                <w:b/>
                <w:color w:val="auto"/>
                <w:sz w:val="20"/>
                <w:szCs w:val="20"/>
                <w:lang w:val="en-GB"/>
              </w:rPr>
            </w:pPr>
          </w:p>
        </w:tc>
        <w:tc>
          <w:tcPr>
            <w:tcW w:w="1134" w:type="dxa"/>
            <w:tcBorders>
              <w:top w:val="double" w:sz="4" w:space="0" w:color="auto"/>
              <w:bottom w:val="double" w:sz="4" w:space="0" w:color="auto"/>
            </w:tcBorders>
            <w:shd w:val="clear" w:color="auto" w:fill="FFFFFF" w:themeFill="background1"/>
          </w:tcPr>
          <w:p w:rsidR="00EB4EE8" w:rsidRPr="00CF4C4E" w:rsidRDefault="00EB4EE8" w:rsidP="00CF4C4E">
            <w:pPr>
              <w:shd w:val="clear" w:color="auto" w:fill="FFFFFF" w:themeFill="background1"/>
              <w:rPr>
                <w:b/>
                <w:sz w:val="20"/>
                <w:szCs w:val="20"/>
                <w:lang w:val="en-GB"/>
              </w:rPr>
            </w:pPr>
          </w:p>
        </w:tc>
      </w:tr>
      <w:tr w:rsidR="00EB4EE8" w:rsidRPr="00CF4C4E" w:rsidTr="00DB3306">
        <w:trPr>
          <w:trHeight w:val="176"/>
        </w:trPr>
        <w:tc>
          <w:tcPr>
            <w:tcW w:w="2802" w:type="dxa"/>
            <w:tcBorders>
              <w:top w:val="double" w:sz="4" w:space="0" w:color="auto"/>
            </w:tcBorders>
            <w:shd w:val="clear" w:color="auto" w:fill="FFFFFF" w:themeFill="background1"/>
          </w:tcPr>
          <w:p w:rsidR="00EB4EE8" w:rsidRPr="00CF4C4E" w:rsidRDefault="00EB4EE8" w:rsidP="00CF4C4E">
            <w:pPr>
              <w:shd w:val="clear" w:color="auto" w:fill="FFFFFF" w:themeFill="background1"/>
              <w:rPr>
                <w:color w:val="auto"/>
                <w:sz w:val="20"/>
                <w:szCs w:val="20"/>
                <w:lang w:val="en-GB"/>
              </w:rPr>
            </w:pPr>
            <w:r w:rsidRPr="00CF4C4E">
              <w:rPr>
                <w:color w:val="auto"/>
                <w:sz w:val="20"/>
                <w:szCs w:val="20"/>
                <w:lang w:val="en-GB"/>
              </w:rPr>
              <w:lastRenderedPageBreak/>
              <w:t xml:space="preserve">3. </w:t>
            </w:r>
            <w:r w:rsidRPr="00CF4C4E">
              <w:rPr>
                <w:b/>
                <w:bCs/>
                <w:color w:val="auto"/>
                <w:sz w:val="20"/>
                <w:szCs w:val="20"/>
                <w:lang w:val="en-GB"/>
              </w:rPr>
              <w:t>Updated National Risk Assessment</w:t>
            </w:r>
          </w:p>
          <w:p w:rsidR="00EB4EE8" w:rsidRPr="00CF4C4E" w:rsidRDefault="00EB4EE8" w:rsidP="00CF4C4E">
            <w:pPr>
              <w:shd w:val="clear" w:color="auto" w:fill="FFFFFF" w:themeFill="background1"/>
              <w:rPr>
                <w:sz w:val="20"/>
                <w:szCs w:val="20"/>
                <w:lang w:val="en-GB"/>
              </w:rPr>
            </w:pPr>
          </w:p>
        </w:tc>
        <w:tc>
          <w:tcPr>
            <w:tcW w:w="2126" w:type="dxa"/>
            <w:tcBorders>
              <w:top w:val="double" w:sz="4" w:space="0" w:color="auto"/>
            </w:tcBorders>
            <w:shd w:val="clear" w:color="auto" w:fill="FFFFFF" w:themeFill="background1"/>
          </w:tcPr>
          <w:p w:rsidR="00EB4EE8" w:rsidRPr="00CF4C4E" w:rsidRDefault="00EB4EE8" w:rsidP="00CF4C4E">
            <w:pPr>
              <w:shd w:val="clear" w:color="auto" w:fill="FFFFFF" w:themeFill="background1"/>
              <w:rPr>
                <w:color w:val="auto"/>
                <w:sz w:val="20"/>
                <w:szCs w:val="20"/>
                <w:lang w:val="en-GB"/>
              </w:rPr>
            </w:pPr>
            <w:r w:rsidRPr="00CF4C4E">
              <w:rPr>
                <w:b/>
                <w:bCs/>
                <w:color w:val="auto"/>
                <w:sz w:val="20"/>
                <w:szCs w:val="20"/>
                <w:lang w:val="en-GB"/>
              </w:rPr>
              <w:t>3.</w:t>
            </w:r>
            <w:r w:rsidRPr="00CF4C4E">
              <w:rPr>
                <w:color w:val="auto"/>
                <w:sz w:val="20"/>
                <w:szCs w:val="20"/>
                <w:lang w:val="en-GB"/>
              </w:rPr>
              <w:t xml:space="preserve"> Yes/No</w:t>
            </w:r>
          </w:p>
          <w:p w:rsidR="00EB4EE8" w:rsidRPr="00CF4C4E" w:rsidRDefault="00EB4EE8" w:rsidP="00CF4C4E">
            <w:pPr>
              <w:shd w:val="clear" w:color="auto" w:fill="FFFFFF" w:themeFill="background1"/>
              <w:rPr>
                <w:b/>
                <w:color w:val="auto"/>
                <w:sz w:val="20"/>
                <w:szCs w:val="20"/>
                <w:lang w:val="en-GB"/>
              </w:rPr>
            </w:pPr>
          </w:p>
        </w:tc>
        <w:tc>
          <w:tcPr>
            <w:tcW w:w="1843" w:type="dxa"/>
            <w:tcBorders>
              <w:top w:val="double" w:sz="4" w:space="0" w:color="auto"/>
            </w:tcBorders>
            <w:shd w:val="clear" w:color="auto" w:fill="FFFFFF" w:themeFill="background1"/>
          </w:tcPr>
          <w:p w:rsidR="00EB4EE8" w:rsidRPr="00CF4C4E" w:rsidRDefault="00EB4EE8" w:rsidP="00CF4C4E">
            <w:pPr>
              <w:rPr>
                <w:b/>
                <w:color w:val="auto"/>
                <w:sz w:val="20"/>
                <w:szCs w:val="20"/>
                <w:lang w:val="en-GB"/>
              </w:rPr>
            </w:pPr>
            <w:r w:rsidRPr="00CF4C4E">
              <w:rPr>
                <w:b/>
                <w:bCs/>
                <w:color w:val="auto"/>
                <w:sz w:val="20"/>
                <w:szCs w:val="20"/>
                <w:lang w:val="en-GB"/>
              </w:rPr>
              <w:t>3.</w:t>
            </w:r>
            <w:r w:rsidRPr="00CF4C4E">
              <w:rPr>
                <w:color w:val="auto"/>
                <w:sz w:val="20"/>
                <w:szCs w:val="20"/>
                <w:lang w:val="en-GB"/>
              </w:rPr>
              <w:t xml:space="preserve"> </w:t>
            </w:r>
            <w:r w:rsidRPr="00CF4C4E">
              <w:rPr>
                <w:b/>
                <w:bCs/>
                <w:color w:val="auto"/>
                <w:sz w:val="20"/>
                <w:szCs w:val="20"/>
                <w:lang w:val="en-GB"/>
              </w:rPr>
              <w:t xml:space="preserve">Government Conclusion </w:t>
            </w:r>
            <w:r w:rsidRPr="00CF4C4E">
              <w:rPr>
                <w:color w:val="auto"/>
                <w:sz w:val="20"/>
                <w:szCs w:val="20"/>
                <w:lang w:val="en-GB"/>
              </w:rPr>
              <w:t>on the adoption of the updated NRA report</w:t>
            </w:r>
          </w:p>
        </w:tc>
        <w:tc>
          <w:tcPr>
            <w:tcW w:w="3118" w:type="dxa"/>
            <w:tcBorders>
              <w:top w:val="double" w:sz="4" w:space="0" w:color="auto"/>
            </w:tcBorders>
            <w:shd w:val="clear" w:color="auto" w:fill="FFFFFF" w:themeFill="background1"/>
          </w:tcPr>
          <w:p w:rsidR="00EB4EE8" w:rsidRPr="00CF4C4E" w:rsidRDefault="00EB4EE8" w:rsidP="00CF4C4E">
            <w:pPr>
              <w:rPr>
                <w:b/>
                <w:sz w:val="20"/>
                <w:szCs w:val="20"/>
                <w:lang w:val="en-GB"/>
              </w:rPr>
            </w:pPr>
            <w:r w:rsidRPr="00CF4C4E">
              <w:rPr>
                <w:b/>
                <w:bCs/>
                <w:color w:val="auto"/>
                <w:sz w:val="20"/>
                <w:szCs w:val="20"/>
                <w:lang w:val="en-GB"/>
              </w:rPr>
              <w:t>3.</w:t>
            </w:r>
            <w:r w:rsidRPr="00CF4C4E">
              <w:rPr>
                <w:color w:val="auto"/>
                <w:sz w:val="20"/>
                <w:szCs w:val="20"/>
                <w:lang w:val="en-GB"/>
              </w:rPr>
              <w:t xml:space="preserve"> </w:t>
            </w:r>
            <w:r w:rsidRPr="00CF4C4E">
              <w:rPr>
                <w:b/>
                <w:bCs/>
                <w:color w:val="auto"/>
                <w:sz w:val="20"/>
                <w:szCs w:val="20"/>
                <w:lang w:val="en-GB"/>
              </w:rPr>
              <w:t>Updated National Risk Assessment:</w:t>
            </w:r>
            <w:r w:rsidRPr="00CF4C4E">
              <w:rPr>
                <w:color w:val="auto"/>
                <w:sz w:val="20"/>
                <w:szCs w:val="20"/>
                <w:lang w:val="en-GB"/>
              </w:rPr>
              <w:t xml:space="preserve"> No</w:t>
            </w:r>
          </w:p>
        </w:tc>
        <w:tc>
          <w:tcPr>
            <w:tcW w:w="1418" w:type="dxa"/>
            <w:tcBorders>
              <w:top w:val="double" w:sz="4" w:space="0" w:color="auto"/>
            </w:tcBorders>
            <w:shd w:val="clear" w:color="auto" w:fill="FFFFFF" w:themeFill="background1"/>
          </w:tcPr>
          <w:p w:rsidR="00EB4EE8" w:rsidRPr="00CF4C4E" w:rsidRDefault="00EB4EE8" w:rsidP="00CF4C4E">
            <w:pPr>
              <w:shd w:val="clear" w:color="auto" w:fill="FFFFFF" w:themeFill="background1"/>
              <w:rPr>
                <w:color w:val="auto"/>
                <w:sz w:val="20"/>
                <w:szCs w:val="20"/>
                <w:lang w:val="en-GB"/>
              </w:rPr>
            </w:pPr>
            <w:r w:rsidRPr="00CF4C4E">
              <w:rPr>
                <w:b/>
                <w:bCs/>
                <w:color w:val="auto"/>
                <w:sz w:val="20"/>
                <w:szCs w:val="20"/>
                <w:lang w:val="en-GB"/>
              </w:rPr>
              <w:t>3.</w:t>
            </w:r>
            <w:r w:rsidRPr="00CF4C4E">
              <w:rPr>
                <w:color w:val="auto"/>
                <w:sz w:val="20"/>
                <w:szCs w:val="20"/>
                <w:lang w:val="en-GB"/>
              </w:rPr>
              <w:t xml:space="preserve"> </w:t>
            </w:r>
            <w:r w:rsidRPr="00CF4C4E">
              <w:rPr>
                <w:b/>
                <w:bCs/>
                <w:color w:val="auto"/>
                <w:sz w:val="20"/>
                <w:szCs w:val="20"/>
                <w:lang w:val="en-GB"/>
              </w:rPr>
              <w:t>National Risk Assessment:</w:t>
            </w:r>
            <w:r w:rsidRPr="00CF4C4E">
              <w:rPr>
                <w:color w:val="auto"/>
                <w:sz w:val="20"/>
                <w:szCs w:val="20"/>
                <w:lang w:val="en-GB"/>
              </w:rPr>
              <w:t xml:space="preserve"> 2019</w:t>
            </w:r>
          </w:p>
          <w:p w:rsidR="00EB4EE8" w:rsidRPr="00CF4C4E" w:rsidRDefault="00EB4EE8" w:rsidP="00CF4C4E">
            <w:pPr>
              <w:shd w:val="clear" w:color="auto" w:fill="FFFFFF" w:themeFill="background1"/>
              <w:rPr>
                <w:b/>
                <w:color w:val="auto"/>
                <w:sz w:val="20"/>
                <w:szCs w:val="20"/>
                <w:lang w:val="en-GB"/>
              </w:rPr>
            </w:pPr>
          </w:p>
        </w:tc>
        <w:tc>
          <w:tcPr>
            <w:tcW w:w="1701" w:type="dxa"/>
            <w:tcBorders>
              <w:top w:val="double" w:sz="4" w:space="0" w:color="auto"/>
            </w:tcBorders>
            <w:shd w:val="clear" w:color="auto" w:fill="FFFFFF" w:themeFill="background1"/>
          </w:tcPr>
          <w:p w:rsidR="00EB4EE8" w:rsidRPr="00CF4C4E" w:rsidRDefault="00EB4EE8" w:rsidP="00CF4C4E">
            <w:pPr>
              <w:shd w:val="clear" w:color="auto" w:fill="FFFFFF" w:themeFill="background1"/>
              <w:rPr>
                <w:b/>
                <w:color w:val="auto"/>
                <w:sz w:val="20"/>
                <w:szCs w:val="20"/>
                <w:lang w:val="en-GB"/>
              </w:rPr>
            </w:pPr>
            <w:r w:rsidRPr="00CF4C4E">
              <w:rPr>
                <w:b/>
                <w:bCs/>
                <w:color w:val="auto"/>
                <w:sz w:val="20"/>
                <w:szCs w:val="20"/>
                <w:lang w:val="en-GB"/>
              </w:rPr>
              <w:t>3.</w:t>
            </w:r>
            <w:r w:rsidRPr="00CF4C4E">
              <w:rPr>
                <w:color w:val="auto"/>
                <w:sz w:val="20"/>
                <w:szCs w:val="20"/>
                <w:lang w:val="en-GB"/>
              </w:rPr>
              <w:t xml:space="preserve"> </w:t>
            </w:r>
            <w:r w:rsidRPr="00CF4C4E">
              <w:rPr>
                <w:b/>
                <w:bCs/>
                <w:color w:val="auto"/>
                <w:sz w:val="20"/>
                <w:szCs w:val="20"/>
                <w:lang w:val="en-GB"/>
              </w:rPr>
              <w:t>National Risk Assessment:</w:t>
            </w:r>
            <w:r w:rsidRPr="00CF4C4E">
              <w:rPr>
                <w:color w:val="auto"/>
                <w:sz w:val="20"/>
                <w:szCs w:val="20"/>
                <w:lang w:val="en-GB"/>
              </w:rPr>
              <w:t xml:space="preserve"> Yes.</w:t>
            </w:r>
          </w:p>
          <w:p w:rsidR="00EB4EE8" w:rsidRPr="00CF4C4E" w:rsidRDefault="00EB4EE8" w:rsidP="00CF4C4E">
            <w:pPr>
              <w:shd w:val="clear" w:color="auto" w:fill="FFFFFF" w:themeFill="background1"/>
              <w:rPr>
                <w:b/>
                <w:color w:val="auto"/>
                <w:sz w:val="20"/>
                <w:szCs w:val="20"/>
                <w:lang w:val="en-GB"/>
              </w:rPr>
            </w:pPr>
          </w:p>
        </w:tc>
        <w:tc>
          <w:tcPr>
            <w:tcW w:w="1134" w:type="dxa"/>
            <w:tcBorders>
              <w:top w:val="double" w:sz="4" w:space="0" w:color="auto"/>
            </w:tcBorders>
            <w:shd w:val="clear" w:color="auto" w:fill="FFFFFF" w:themeFill="background1"/>
          </w:tcPr>
          <w:p w:rsidR="00EB4EE8" w:rsidRPr="00CF4C4E" w:rsidRDefault="00EB4EE8" w:rsidP="00CF4C4E">
            <w:pPr>
              <w:shd w:val="clear" w:color="auto" w:fill="FFFFFF" w:themeFill="background1"/>
              <w:rPr>
                <w:b/>
                <w:sz w:val="20"/>
                <w:szCs w:val="20"/>
                <w:lang w:val="en-GB"/>
              </w:rPr>
            </w:pPr>
          </w:p>
        </w:tc>
      </w:tr>
    </w:tbl>
    <w:p w:rsidR="00C1496A" w:rsidRPr="00CF4C4E" w:rsidRDefault="00C1496A" w:rsidP="00CF4C4E">
      <w:pPr>
        <w:rPr>
          <w:sz w:val="20"/>
          <w:szCs w:val="20"/>
          <w:lang w:val="en-GB"/>
        </w:rPr>
      </w:pPr>
    </w:p>
    <w:tbl>
      <w:tblPr>
        <w:tblStyle w:val="TableGrid"/>
        <w:tblW w:w="14132" w:type="dxa"/>
        <w:tblInd w:w="10" w:type="dxa"/>
        <w:tblLayout w:type="fixed"/>
        <w:tblLook w:val="04A0"/>
      </w:tblPr>
      <w:tblGrid>
        <w:gridCol w:w="3136"/>
        <w:gridCol w:w="1442"/>
        <w:gridCol w:w="2466"/>
        <w:gridCol w:w="1276"/>
        <w:gridCol w:w="1134"/>
        <w:gridCol w:w="1559"/>
        <w:gridCol w:w="1418"/>
        <w:gridCol w:w="1701"/>
      </w:tblGrid>
      <w:tr w:rsidR="00F43ECD" w:rsidRPr="00CF4C4E" w:rsidTr="00DF0DDF">
        <w:trPr>
          <w:trHeight w:val="320"/>
        </w:trPr>
        <w:tc>
          <w:tcPr>
            <w:tcW w:w="14132" w:type="dxa"/>
            <w:gridSpan w:val="8"/>
            <w:tcBorders>
              <w:top w:val="double" w:sz="4" w:space="0" w:color="auto"/>
              <w:right w:val="double" w:sz="4" w:space="0" w:color="auto"/>
            </w:tcBorders>
            <w:shd w:val="clear" w:color="auto" w:fill="FBD4B4" w:themeFill="accent6" w:themeFillTint="66"/>
          </w:tcPr>
          <w:p w:rsidR="00F43ECD" w:rsidRPr="00CF4C4E" w:rsidRDefault="00F43ECD" w:rsidP="00CF4C4E">
            <w:pPr>
              <w:pStyle w:val="Heading2"/>
              <w:spacing w:before="0" w:beforeAutospacing="0" w:after="0" w:afterAutospacing="0"/>
              <w:rPr>
                <w:sz w:val="20"/>
                <w:szCs w:val="20"/>
                <w:lang w:val="en-GB"/>
              </w:rPr>
            </w:pPr>
            <w:bookmarkStart w:id="1" w:name="_Toc32409905"/>
            <w:r w:rsidRPr="00CF4C4E">
              <w:rPr>
                <w:sz w:val="20"/>
                <w:szCs w:val="20"/>
                <w:lang w:val="en-GB"/>
              </w:rPr>
              <w:t>Specific objective 1:</w:t>
            </w:r>
            <w:r w:rsidRPr="00CF4C4E">
              <w:rPr>
                <w:b w:val="0"/>
                <w:bCs w:val="0"/>
                <w:sz w:val="20"/>
                <w:szCs w:val="20"/>
                <w:lang w:val="en-GB"/>
              </w:rPr>
              <w:t xml:space="preserve"> </w:t>
            </w:r>
            <w:r w:rsidRPr="00CF4C4E">
              <w:rPr>
                <w:sz w:val="20"/>
                <w:szCs w:val="20"/>
                <w:lang w:val="en-GB"/>
              </w:rPr>
              <w:t>Mitigate money laundering, terrorism financing and proliferation of WMD risk through continuous improvement of the strategic, legislative and institutional framework, coordination and cooperation of all AML/CFT stakeholders and international cooperation</w:t>
            </w:r>
            <w:bookmarkEnd w:id="1"/>
          </w:p>
        </w:tc>
      </w:tr>
      <w:tr w:rsidR="00F43ECD" w:rsidRPr="00CF4C4E" w:rsidTr="00DF0DDF">
        <w:trPr>
          <w:trHeight w:val="320"/>
        </w:trPr>
        <w:tc>
          <w:tcPr>
            <w:tcW w:w="14132" w:type="dxa"/>
            <w:gridSpan w:val="8"/>
            <w:tcBorders>
              <w:top w:val="double" w:sz="4" w:space="0" w:color="auto"/>
              <w:right w:val="double" w:sz="4" w:space="0" w:color="auto"/>
            </w:tcBorders>
            <w:shd w:val="clear" w:color="auto" w:fill="FBD4B4" w:themeFill="accent6" w:themeFillTint="66"/>
            <w:vAlign w:val="center"/>
          </w:tcPr>
          <w:p w:rsidR="00F43ECD" w:rsidRPr="00CF4C4E" w:rsidRDefault="00F43ECD" w:rsidP="00CF4C4E">
            <w:pPr>
              <w:rPr>
                <w:sz w:val="20"/>
                <w:szCs w:val="20"/>
                <w:lang w:val="en-GB"/>
              </w:rPr>
            </w:pPr>
            <w:r w:rsidRPr="00CF4C4E">
              <w:rPr>
                <w:rFonts w:eastAsia="Times New Roman"/>
                <w:color w:val="222222"/>
                <w:sz w:val="20"/>
                <w:szCs w:val="20"/>
                <w:lang w:val="en-GB"/>
              </w:rPr>
              <w:t>Institution responsible for monitoring and control of implementation: Coordination Body for the Prevention of Money Laundering and the Financing of Terrorism (AML/CFT CB)</w:t>
            </w:r>
          </w:p>
        </w:tc>
      </w:tr>
      <w:tr w:rsidR="004316AD" w:rsidRPr="00CF4C4E" w:rsidTr="00DF0DDF">
        <w:trPr>
          <w:trHeight w:val="575"/>
        </w:trPr>
        <w:tc>
          <w:tcPr>
            <w:tcW w:w="3136"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Indicator(s) at the level of the specific objective (indicator of outcome)</w:t>
            </w:r>
          </w:p>
        </w:tc>
        <w:tc>
          <w:tcPr>
            <w:tcW w:w="1442"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Unit of measurement</w:t>
            </w:r>
          </w:p>
          <w:p w:rsidR="004316AD" w:rsidRPr="00CF4C4E" w:rsidRDefault="004316AD" w:rsidP="00CF4C4E">
            <w:pPr>
              <w:rPr>
                <w:sz w:val="20"/>
                <w:szCs w:val="20"/>
                <w:lang w:val="en-GB"/>
              </w:rPr>
            </w:pPr>
          </w:p>
        </w:tc>
        <w:tc>
          <w:tcPr>
            <w:tcW w:w="2466"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Source of verification</w:t>
            </w:r>
          </w:p>
        </w:tc>
        <w:tc>
          <w:tcPr>
            <w:tcW w:w="1276"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 xml:space="preserve">Base value </w:t>
            </w:r>
          </w:p>
        </w:tc>
        <w:tc>
          <w:tcPr>
            <w:tcW w:w="1134"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Base year</w:t>
            </w:r>
          </w:p>
        </w:tc>
        <w:tc>
          <w:tcPr>
            <w:tcW w:w="1559"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Target value in 2020</w:t>
            </w:r>
          </w:p>
        </w:tc>
        <w:tc>
          <w:tcPr>
            <w:tcW w:w="1418"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Target value in 2021</w:t>
            </w:r>
          </w:p>
        </w:tc>
        <w:tc>
          <w:tcPr>
            <w:tcW w:w="1701" w:type="dxa"/>
            <w:tcBorders>
              <w:top w:val="double" w:sz="4" w:space="0" w:color="auto"/>
              <w:right w:val="double" w:sz="4" w:space="0" w:color="auto"/>
            </w:tcBorders>
            <w:shd w:val="clear" w:color="auto" w:fill="D9D9D9" w:themeFill="background1" w:themeFillShade="D9"/>
          </w:tcPr>
          <w:p w:rsidR="004316AD" w:rsidRPr="00CF4C4E" w:rsidRDefault="00885F9C" w:rsidP="00CF4C4E">
            <w:pPr>
              <w:rPr>
                <w:sz w:val="20"/>
                <w:szCs w:val="20"/>
                <w:lang w:val="en-GB"/>
              </w:rPr>
            </w:pPr>
            <w:r w:rsidRPr="00CF4C4E">
              <w:rPr>
                <w:sz w:val="20"/>
                <w:szCs w:val="20"/>
                <w:lang w:val="en-GB"/>
              </w:rPr>
              <w:t>Target value in 2022</w:t>
            </w:r>
          </w:p>
        </w:tc>
      </w:tr>
      <w:tr w:rsidR="00F43ECD" w:rsidRPr="00CF4C4E" w:rsidTr="00DF0DDF">
        <w:trPr>
          <w:trHeight w:val="254"/>
        </w:trPr>
        <w:tc>
          <w:tcPr>
            <w:tcW w:w="3136" w:type="dxa"/>
            <w:tcBorders>
              <w:top w:val="double" w:sz="4" w:space="0" w:color="auto"/>
              <w:bottom w:val="double" w:sz="4" w:space="0" w:color="auto"/>
            </w:tcBorders>
            <w:shd w:val="clear" w:color="auto" w:fill="FFFFFF" w:themeFill="background1"/>
          </w:tcPr>
          <w:p w:rsidR="00CB5545" w:rsidRPr="00CF4C4E" w:rsidRDefault="00CB5545" w:rsidP="00CF4C4E">
            <w:pPr>
              <w:shd w:val="clear" w:color="auto" w:fill="FFFFFF" w:themeFill="background1"/>
              <w:rPr>
                <w:sz w:val="20"/>
                <w:szCs w:val="20"/>
                <w:lang w:val="en-GB"/>
              </w:rPr>
            </w:pPr>
            <w:r w:rsidRPr="00CF4C4E">
              <w:rPr>
                <w:sz w:val="20"/>
                <w:szCs w:val="20"/>
                <w:lang w:val="en-GB"/>
              </w:rPr>
              <w:t>1. Updated National Risk Assessment</w:t>
            </w:r>
          </w:p>
          <w:p w:rsidR="000435FD" w:rsidRPr="00CF4C4E" w:rsidRDefault="000435FD" w:rsidP="00CF4C4E">
            <w:pPr>
              <w:shd w:val="clear" w:color="auto" w:fill="FFFFFF" w:themeFill="background1"/>
              <w:rPr>
                <w:sz w:val="20"/>
                <w:szCs w:val="20"/>
                <w:lang w:val="en-GB"/>
              </w:rPr>
            </w:pPr>
          </w:p>
        </w:tc>
        <w:tc>
          <w:tcPr>
            <w:tcW w:w="1442" w:type="dxa"/>
            <w:tcBorders>
              <w:top w:val="double" w:sz="4" w:space="0" w:color="auto"/>
              <w:bottom w:val="double" w:sz="4" w:space="0" w:color="auto"/>
            </w:tcBorders>
            <w:shd w:val="clear" w:color="auto" w:fill="FFFFFF" w:themeFill="background1"/>
          </w:tcPr>
          <w:p w:rsidR="006F7310" w:rsidRPr="00CF4C4E" w:rsidRDefault="00CB5545" w:rsidP="00CF4C4E">
            <w:pPr>
              <w:shd w:val="clear" w:color="auto" w:fill="FFFFFF" w:themeFill="background1"/>
              <w:rPr>
                <w:sz w:val="20"/>
                <w:szCs w:val="20"/>
                <w:lang w:val="en-GB"/>
              </w:rPr>
            </w:pPr>
            <w:r w:rsidRPr="00CF4C4E">
              <w:rPr>
                <w:sz w:val="20"/>
                <w:szCs w:val="20"/>
                <w:lang w:val="en-GB"/>
              </w:rPr>
              <w:t>Yes/No</w:t>
            </w:r>
          </w:p>
        </w:tc>
        <w:tc>
          <w:tcPr>
            <w:tcW w:w="2466" w:type="dxa"/>
            <w:tcBorders>
              <w:top w:val="double" w:sz="4" w:space="0" w:color="auto"/>
              <w:bottom w:val="double" w:sz="4" w:space="0" w:color="auto"/>
            </w:tcBorders>
            <w:shd w:val="clear" w:color="auto" w:fill="FFFFFF" w:themeFill="background1"/>
          </w:tcPr>
          <w:p w:rsidR="000435FD" w:rsidRPr="00CF4C4E" w:rsidRDefault="00F43ECD" w:rsidP="00CF4C4E">
            <w:pPr>
              <w:shd w:val="clear" w:color="auto" w:fill="FFFFFF" w:themeFill="background1"/>
              <w:rPr>
                <w:sz w:val="20"/>
                <w:szCs w:val="20"/>
                <w:lang w:val="en-GB"/>
              </w:rPr>
            </w:pPr>
            <w:r w:rsidRPr="00CF4C4E">
              <w:rPr>
                <w:sz w:val="20"/>
                <w:szCs w:val="20"/>
                <w:lang w:val="en-GB"/>
              </w:rPr>
              <w:t xml:space="preserve">National Risk Assessment report </w:t>
            </w:r>
          </w:p>
          <w:p w:rsidR="00467761" w:rsidRPr="00CF4C4E" w:rsidRDefault="000435FD" w:rsidP="00CF4C4E">
            <w:pPr>
              <w:shd w:val="clear" w:color="auto" w:fill="FFFFFF" w:themeFill="background1"/>
              <w:rPr>
                <w:sz w:val="20"/>
                <w:szCs w:val="20"/>
                <w:lang w:val="en-GB"/>
              </w:rPr>
            </w:pPr>
            <w:r w:rsidRPr="00CF4C4E">
              <w:rPr>
                <w:sz w:val="20"/>
                <w:szCs w:val="20"/>
                <w:lang w:val="en-GB"/>
              </w:rPr>
              <w:t>Moneyval Report</w:t>
            </w:r>
          </w:p>
        </w:tc>
        <w:tc>
          <w:tcPr>
            <w:tcW w:w="1276" w:type="dxa"/>
            <w:tcBorders>
              <w:top w:val="double" w:sz="4" w:space="0" w:color="auto"/>
              <w:bottom w:val="double" w:sz="4" w:space="0" w:color="auto"/>
            </w:tcBorders>
            <w:shd w:val="clear" w:color="auto" w:fill="FFFFFF" w:themeFill="background1"/>
          </w:tcPr>
          <w:p w:rsidR="00F43ECD" w:rsidRPr="00CF4C4E" w:rsidRDefault="000435FD" w:rsidP="00CF4C4E">
            <w:pPr>
              <w:shd w:val="clear" w:color="auto" w:fill="FFFFFF" w:themeFill="background1"/>
              <w:rPr>
                <w:sz w:val="20"/>
                <w:szCs w:val="20"/>
                <w:lang w:val="en-GB"/>
              </w:rPr>
            </w:pPr>
            <w:r w:rsidRPr="00CF4C4E">
              <w:rPr>
                <w:sz w:val="20"/>
                <w:szCs w:val="20"/>
                <w:lang w:val="en-GB"/>
              </w:rPr>
              <w:t>No</w:t>
            </w:r>
          </w:p>
        </w:tc>
        <w:tc>
          <w:tcPr>
            <w:tcW w:w="1134" w:type="dxa"/>
            <w:tcBorders>
              <w:top w:val="double" w:sz="4" w:space="0" w:color="auto"/>
              <w:bottom w:val="double" w:sz="4" w:space="0" w:color="auto"/>
            </w:tcBorders>
            <w:shd w:val="clear" w:color="auto" w:fill="FFFFFF" w:themeFill="background1"/>
          </w:tcPr>
          <w:p w:rsidR="00F43ECD" w:rsidRPr="00CF4C4E" w:rsidRDefault="00903B60" w:rsidP="00CF4C4E">
            <w:pPr>
              <w:shd w:val="clear" w:color="auto" w:fill="FFFFFF" w:themeFill="background1"/>
              <w:rPr>
                <w:sz w:val="20"/>
                <w:szCs w:val="20"/>
                <w:lang w:val="en-GB"/>
              </w:rPr>
            </w:pPr>
            <w:r w:rsidRPr="00CF4C4E">
              <w:rPr>
                <w:sz w:val="20"/>
                <w:szCs w:val="20"/>
                <w:lang w:val="en-GB"/>
              </w:rPr>
              <w:t>2019</w:t>
            </w:r>
          </w:p>
        </w:tc>
        <w:tc>
          <w:tcPr>
            <w:tcW w:w="1559" w:type="dxa"/>
            <w:tcBorders>
              <w:top w:val="double" w:sz="4" w:space="0" w:color="auto"/>
              <w:bottom w:val="double" w:sz="4" w:space="0" w:color="auto"/>
            </w:tcBorders>
            <w:shd w:val="clear" w:color="auto" w:fill="FFFFFF" w:themeFill="background1"/>
          </w:tcPr>
          <w:p w:rsidR="00F43ECD" w:rsidRPr="00CF4C4E" w:rsidRDefault="000435FD" w:rsidP="00CF4C4E">
            <w:pPr>
              <w:shd w:val="clear" w:color="auto" w:fill="FFFFFF" w:themeFill="background1"/>
              <w:rPr>
                <w:sz w:val="20"/>
                <w:szCs w:val="20"/>
                <w:lang w:val="en-GB"/>
              </w:rPr>
            </w:pPr>
            <w:r w:rsidRPr="00CF4C4E">
              <w:rPr>
                <w:sz w:val="20"/>
                <w:szCs w:val="20"/>
                <w:lang w:val="en-GB"/>
              </w:rPr>
              <w:t>No</w:t>
            </w:r>
          </w:p>
        </w:tc>
        <w:tc>
          <w:tcPr>
            <w:tcW w:w="1418" w:type="dxa"/>
            <w:tcBorders>
              <w:top w:val="double" w:sz="4" w:space="0" w:color="auto"/>
              <w:bottom w:val="double" w:sz="4" w:space="0" w:color="auto"/>
            </w:tcBorders>
            <w:shd w:val="clear" w:color="auto" w:fill="FFFFFF" w:themeFill="background1"/>
          </w:tcPr>
          <w:p w:rsidR="00F43ECD" w:rsidRPr="00CF4C4E" w:rsidRDefault="000435FD" w:rsidP="00CF4C4E">
            <w:pPr>
              <w:shd w:val="clear" w:color="auto" w:fill="FFFFFF" w:themeFill="background1"/>
              <w:rPr>
                <w:sz w:val="20"/>
                <w:szCs w:val="20"/>
                <w:lang w:val="en-GB"/>
              </w:rPr>
            </w:pPr>
            <w:r w:rsidRPr="00CF4C4E">
              <w:rPr>
                <w:sz w:val="20"/>
                <w:szCs w:val="20"/>
                <w:lang w:val="en-GB"/>
              </w:rPr>
              <w:t>Yes.</w:t>
            </w:r>
          </w:p>
        </w:tc>
        <w:tc>
          <w:tcPr>
            <w:tcW w:w="1701" w:type="dxa"/>
            <w:tcBorders>
              <w:top w:val="double" w:sz="4" w:space="0" w:color="auto"/>
              <w:bottom w:val="double" w:sz="4" w:space="0" w:color="auto"/>
              <w:right w:val="double" w:sz="4" w:space="0" w:color="auto"/>
            </w:tcBorders>
            <w:shd w:val="clear" w:color="auto" w:fill="FFFFFF" w:themeFill="background1"/>
          </w:tcPr>
          <w:p w:rsidR="00F43ECD" w:rsidRPr="00CF4C4E" w:rsidRDefault="000435FD" w:rsidP="00CF4C4E">
            <w:pPr>
              <w:shd w:val="clear" w:color="auto" w:fill="FFFFFF" w:themeFill="background1"/>
              <w:rPr>
                <w:sz w:val="20"/>
                <w:szCs w:val="20"/>
                <w:lang w:val="en-GB"/>
              </w:rPr>
            </w:pPr>
            <w:r w:rsidRPr="00CF4C4E">
              <w:rPr>
                <w:sz w:val="20"/>
                <w:szCs w:val="20"/>
                <w:lang w:val="en-GB"/>
              </w:rPr>
              <w:t>Yes.</w:t>
            </w:r>
          </w:p>
        </w:tc>
      </w:tr>
      <w:tr w:rsidR="000435FD" w:rsidRPr="00CF4C4E" w:rsidTr="00DF0DDF">
        <w:trPr>
          <w:trHeight w:val="254"/>
        </w:trPr>
        <w:tc>
          <w:tcPr>
            <w:tcW w:w="3136" w:type="dxa"/>
            <w:tcBorders>
              <w:top w:val="double" w:sz="4" w:space="0" w:color="auto"/>
            </w:tcBorders>
            <w:shd w:val="clear" w:color="auto" w:fill="FFFFFF" w:themeFill="background1"/>
          </w:tcPr>
          <w:p w:rsidR="000435FD" w:rsidRPr="00CF4C4E" w:rsidRDefault="000435FD" w:rsidP="005A41CB">
            <w:pPr>
              <w:shd w:val="clear" w:color="auto" w:fill="FFFFFF" w:themeFill="background1"/>
              <w:rPr>
                <w:sz w:val="20"/>
                <w:szCs w:val="20"/>
                <w:lang w:val="en-GB"/>
              </w:rPr>
            </w:pPr>
            <w:r w:rsidRPr="00CF4C4E">
              <w:rPr>
                <w:sz w:val="20"/>
                <w:szCs w:val="20"/>
                <w:lang w:val="en-GB"/>
              </w:rPr>
              <w:t xml:space="preserve">2. </w:t>
            </w:r>
            <w:r w:rsidR="005A41CB">
              <w:rPr>
                <w:sz w:val="20"/>
                <w:szCs w:val="20"/>
                <w:lang w:val="en-GB"/>
              </w:rPr>
              <w:t>Sustained</w:t>
            </w:r>
            <w:r w:rsidRPr="00CF4C4E">
              <w:rPr>
                <w:sz w:val="20"/>
                <w:szCs w:val="20"/>
                <w:lang w:val="en-GB"/>
              </w:rPr>
              <w:t xml:space="preserve"> progress on relevant immediate outcomes in line with FATF Methodology</w:t>
            </w:r>
          </w:p>
        </w:tc>
        <w:tc>
          <w:tcPr>
            <w:tcW w:w="1442" w:type="dxa"/>
            <w:tcBorders>
              <w:top w:val="double" w:sz="4" w:space="0" w:color="auto"/>
            </w:tcBorders>
            <w:shd w:val="clear" w:color="auto" w:fill="FFFFFF" w:themeFill="background1"/>
          </w:tcPr>
          <w:p w:rsidR="000435FD" w:rsidRPr="00CF4C4E" w:rsidRDefault="000435FD" w:rsidP="00CF4C4E">
            <w:pPr>
              <w:shd w:val="clear" w:color="auto" w:fill="FFFFFF" w:themeFill="background1"/>
              <w:rPr>
                <w:sz w:val="20"/>
                <w:szCs w:val="20"/>
                <w:lang w:val="en-GB"/>
              </w:rPr>
            </w:pPr>
            <w:r w:rsidRPr="00CF4C4E">
              <w:rPr>
                <w:sz w:val="20"/>
                <w:szCs w:val="20"/>
                <w:lang w:val="en-GB"/>
              </w:rPr>
              <w:t>Yes/No</w:t>
            </w:r>
          </w:p>
        </w:tc>
        <w:tc>
          <w:tcPr>
            <w:tcW w:w="2466" w:type="dxa"/>
            <w:tcBorders>
              <w:top w:val="double" w:sz="4" w:space="0" w:color="auto"/>
            </w:tcBorders>
            <w:shd w:val="clear" w:color="auto" w:fill="FFFFFF" w:themeFill="background1"/>
          </w:tcPr>
          <w:p w:rsidR="000435FD" w:rsidRPr="00CF4C4E" w:rsidRDefault="000435FD" w:rsidP="00CF4C4E">
            <w:pPr>
              <w:shd w:val="clear" w:color="auto" w:fill="FFFFFF" w:themeFill="background1"/>
              <w:rPr>
                <w:sz w:val="20"/>
                <w:szCs w:val="20"/>
                <w:lang w:val="en-GB"/>
              </w:rPr>
            </w:pPr>
            <w:r w:rsidRPr="00CF4C4E">
              <w:rPr>
                <w:sz w:val="20"/>
                <w:szCs w:val="20"/>
                <w:lang w:val="en-GB"/>
              </w:rPr>
              <w:t>Work reports of coordination bodies, supervisors, other institutions</w:t>
            </w:r>
          </w:p>
          <w:p w:rsidR="000435FD" w:rsidRPr="00CF4C4E" w:rsidRDefault="000435FD" w:rsidP="00CF4C4E">
            <w:pPr>
              <w:shd w:val="clear" w:color="auto" w:fill="FFFFFF" w:themeFill="background1"/>
              <w:rPr>
                <w:sz w:val="20"/>
                <w:szCs w:val="20"/>
                <w:lang w:val="en-GB"/>
              </w:rPr>
            </w:pPr>
            <w:r w:rsidRPr="00CF4C4E">
              <w:rPr>
                <w:sz w:val="20"/>
                <w:szCs w:val="20"/>
                <w:lang w:val="en-GB"/>
              </w:rPr>
              <w:t>Moneyval Report</w:t>
            </w:r>
          </w:p>
        </w:tc>
        <w:tc>
          <w:tcPr>
            <w:tcW w:w="1276" w:type="dxa"/>
            <w:tcBorders>
              <w:top w:val="double" w:sz="4" w:space="0" w:color="auto"/>
            </w:tcBorders>
            <w:shd w:val="clear" w:color="auto" w:fill="FFFFFF" w:themeFill="background1"/>
          </w:tcPr>
          <w:p w:rsidR="000435FD" w:rsidRPr="00CF4C4E" w:rsidRDefault="000435FD" w:rsidP="00CF4C4E">
            <w:pPr>
              <w:shd w:val="clear" w:color="auto" w:fill="FFFFFF" w:themeFill="background1"/>
              <w:rPr>
                <w:sz w:val="20"/>
                <w:szCs w:val="20"/>
                <w:lang w:val="en-GB"/>
              </w:rPr>
            </w:pPr>
            <w:r w:rsidRPr="00CF4C4E">
              <w:rPr>
                <w:sz w:val="20"/>
                <w:szCs w:val="20"/>
                <w:lang w:val="en-GB"/>
              </w:rPr>
              <w:t>Yes.</w:t>
            </w:r>
          </w:p>
        </w:tc>
        <w:tc>
          <w:tcPr>
            <w:tcW w:w="1134" w:type="dxa"/>
            <w:tcBorders>
              <w:top w:val="double" w:sz="4" w:space="0" w:color="auto"/>
            </w:tcBorders>
            <w:shd w:val="clear" w:color="auto" w:fill="FFFFFF" w:themeFill="background1"/>
          </w:tcPr>
          <w:p w:rsidR="000435FD" w:rsidRPr="00CF4C4E" w:rsidRDefault="000435FD" w:rsidP="00CF4C4E">
            <w:pPr>
              <w:shd w:val="clear" w:color="auto" w:fill="FFFFFF" w:themeFill="background1"/>
              <w:rPr>
                <w:sz w:val="20"/>
                <w:szCs w:val="20"/>
                <w:lang w:val="en-GB"/>
              </w:rPr>
            </w:pPr>
            <w:r w:rsidRPr="00CF4C4E">
              <w:rPr>
                <w:sz w:val="20"/>
                <w:szCs w:val="20"/>
                <w:lang w:val="en-GB"/>
              </w:rPr>
              <w:t>2019</w:t>
            </w:r>
          </w:p>
        </w:tc>
        <w:tc>
          <w:tcPr>
            <w:tcW w:w="1559" w:type="dxa"/>
            <w:tcBorders>
              <w:top w:val="double" w:sz="4" w:space="0" w:color="auto"/>
            </w:tcBorders>
            <w:shd w:val="clear" w:color="auto" w:fill="FFFFFF" w:themeFill="background1"/>
          </w:tcPr>
          <w:p w:rsidR="000435FD" w:rsidRPr="00CF4C4E" w:rsidRDefault="000435FD" w:rsidP="00CF4C4E">
            <w:pPr>
              <w:rPr>
                <w:sz w:val="20"/>
                <w:szCs w:val="20"/>
                <w:lang w:val="en-GB"/>
              </w:rPr>
            </w:pPr>
            <w:r w:rsidRPr="00CF4C4E">
              <w:rPr>
                <w:sz w:val="20"/>
                <w:szCs w:val="20"/>
                <w:lang w:val="en-GB"/>
              </w:rPr>
              <w:t>Yes.</w:t>
            </w:r>
          </w:p>
        </w:tc>
        <w:tc>
          <w:tcPr>
            <w:tcW w:w="1418" w:type="dxa"/>
            <w:tcBorders>
              <w:top w:val="double" w:sz="4" w:space="0" w:color="auto"/>
            </w:tcBorders>
            <w:shd w:val="clear" w:color="auto" w:fill="FFFFFF" w:themeFill="background1"/>
          </w:tcPr>
          <w:p w:rsidR="000435FD" w:rsidRPr="00CF4C4E" w:rsidRDefault="000435FD" w:rsidP="00CF4C4E">
            <w:pPr>
              <w:rPr>
                <w:sz w:val="20"/>
                <w:szCs w:val="20"/>
                <w:lang w:val="en-GB"/>
              </w:rPr>
            </w:pPr>
            <w:r w:rsidRPr="00CF4C4E">
              <w:rPr>
                <w:sz w:val="20"/>
                <w:szCs w:val="20"/>
                <w:lang w:val="en-GB"/>
              </w:rPr>
              <w:t>Yes.</w:t>
            </w:r>
          </w:p>
        </w:tc>
        <w:tc>
          <w:tcPr>
            <w:tcW w:w="1701" w:type="dxa"/>
            <w:tcBorders>
              <w:top w:val="double" w:sz="4" w:space="0" w:color="auto"/>
              <w:right w:val="double" w:sz="4" w:space="0" w:color="auto"/>
            </w:tcBorders>
            <w:shd w:val="clear" w:color="auto" w:fill="FFFFFF" w:themeFill="background1"/>
          </w:tcPr>
          <w:p w:rsidR="000435FD" w:rsidRPr="00CF4C4E" w:rsidRDefault="000435FD" w:rsidP="00CF4C4E">
            <w:pPr>
              <w:rPr>
                <w:sz w:val="20"/>
                <w:szCs w:val="20"/>
                <w:lang w:val="en-GB"/>
              </w:rPr>
            </w:pPr>
            <w:r w:rsidRPr="00CF4C4E">
              <w:rPr>
                <w:sz w:val="20"/>
                <w:szCs w:val="20"/>
                <w:lang w:val="en-GB"/>
              </w:rPr>
              <w:t>Yes.</w:t>
            </w:r>
          </w:p>
        </w:tc>
      </w:tr>
    </w:tbl>
    <w:p w:rsidR="00DA0EC2" w:rsidRPr="00CF4C4E" w:rsidRDefault="00DA0EC2" w:rsidP="00CF4C4E">
      <w:pPr>
        <w:tabs>
          <w:tab w:val="left" w:pos="1940"/>
        </w:tabs>
        <w:rPr>
          <w:sz w:val="20"/>
          <w:szCs w:val="20"/>
          <w:lang w:val="en-GB"/>
        </w:rPr>
      </w:pPr>
    </w:p>
    <w:tbl>
      <w:tblPr>
        <w:tblStyle w:val="TableGrid"/>
        <w:tblW w:w="14132" w:type="dxa"/>
        <w:tblInd w:w="10" w:type="dxa"/>
        <w:tblLayout w:type="fixed"/>
        <w:tblLook w:val="04A0"/>
      </w:tblPr>
      <w:tblGrid>
        <w:gridCol w:w="2792"/>
        <w:gridCol w:w="1134"/>
        <w:gridCol w:w="2976"/>
        <w:gridCol w:w="709"/>
        <w:gridCol w:w="1134"/>
        <w:gridCol w:w="992"/>
        <w:gridCol w:w="1418"/>
        <w:gridCol w:w="1417"/>
        <w:gridCol w:w="1560"/>
      </w:tblGrid>
      <w:tr w:rsidR="00F43ECD" w:rsidRPr="00CF4C4E" w:rsidTr="00DF0DDF">
        <w:tc>
          <w:tcPr>
            <w:tcW w:w="14132" w:type="dxa"/>
            <w:gridSpan w:val="9"/>
            <w:tcBorders>
              <w:top w:val="double" w:sz="4" w:space="0" w:color="auto"/>
              <w:left w:val="double" w:sz="4" w:space="0" w:color="auto"/>
              <w:right w:val="double" w:sz="4" w:space="0" w:color="auto"/>
            </w:tcBorders>
            <w:shd w:val="clear" w:color="auto" w:fill="E5B8B7" w:themeFill="accent2" w:themeFillTint="66"/>
          </w:tcPr>
          <w:p w:rsidR="00F43ECD" w:rsidRPr="00CF4C4E" w:rsidRDefault="00F43ECD" w:rsidP="00CF4C4E">
            <w:pPr>
              <w:pStyle w:val="Heading3"/>
              <w:spacing w:before="0"/>
              <w:rPr>
                <w:rFonts w:cs="Times New Roman"/>
                <w:szCs w:val="20"/>
                <w:lang w:val="en-GB"/>
              </w:rPr>
            </w:pPr>
            <w:bookmarkStart w:id="2" w:name="_Toc32409906"/>
            <w:r w:rsidRPr="00CF4C4E">
              <w:rPr>
                <w:rFonts w:cs="Times New Roman"/>
                <w:szCs w:val="20"/>
                <w:lang w:val="en-GB"/>
              </w:rPr>
              <w:t>Measure 1.1:</w:t>
            </w:r>
            <w:r w:rsidRPr="00CF4C4E">
              <w:rPr>
                <w:rFonts w:cs="Times New Roman"/>
                <w:b w:val="0"/>
                <w:bCs w:val="0"/>
                <w:szCs w:val="20"/>
                <w:lang w:val="en-GB"/>
              </w:rPr>
              <w:t xml:space="preserve"> </w:t>
            </w:r>
            <w:r w:rsidRPr="00CF4C4E">
              <w:rPr>
                <w:rFonts w:cs="Times New Roman"/>
                <w:szCs w:val="20"/>
                <w:lang w:val="en-GB"/>
              </w:rPr>
              <w:t>Maintaining and improvement of comprehensive understanding of money laundering and terrorism financing risks in the Republic of Serbia</w:t>
            </w:r>
            <w:bookmarkEnd w:id="2"/>
          </w:p>
        </w:tc>
      </w:tr>
      <w:tr w:rsidR="00F43ECD" w:rsidRPr="00CF4C4E" w:rsidTr="00DF0DDF">
        <w:tc>
          <w:tcPr>
            <w:tcW w:w="14132" w:type="dxa"/>
            <w:gridSpan w:val="9"/>
            <w:tcBorders>
              <w:top w:val="double" w:sz="4" w:space="0" w:color="auto"/>
              <w:left w:val="double" w:sz="4" w:space="0" w:color="auto"/>
              <w:bottom w:val="double" w:sz="4" w:space="0" w:color="auto"/>
              <w:right w:val="double" w:sz="4" w:space="0" w:color="auto"/>
            </w:tcBorders>
            <w:shd w:val="clear" w:color="auto" w:fill="E5B8B7" w:themeFill="accent2" w:themeFillTint="66"/>
            <w:vAlign w:val="center"/>
          </w:tcPr>
          <w:p w:rsidR="00F43ECD" w:rsidRPr="00CF4C4E" w:rsidRDefault="00F43ECD" w:rsidP="00CF4C4E">
            <w:pPr>
              <w:rPr>
                <w:sz w:val="20"/>
                <w:szCs w:val="20"/>
                <w:lang w:val="en-GB"/>
              </w:rPr>
            </w:pPr>
            <w:r w:rsidRPr="00CF4C4E">
              <w:rPr>
                <w:rFonts w:eastAsia="Times New Roman"/>
                <w:color w:val="222222"/>
                <w:sz w:val="20"/>
                <w:szCs w:val="20"/>
                <w:lang w:val="en-GB"/>
              </w:rPr>
              <w:t>Institution responsible for monitoring and control of implementation: Coordination Body for the Prevention of Money Laundering and the Financing of Terrorism (AML/CFT CB)</w:t>
            </w:r>
          </w:p>
        </w:tc>
      </w:tr>
      <w:tr w:rsidR="00F43ECD" w:rsidRPr="00CF4C4E" w:rsidTr="00DF0DDF">
        <w:tc>
          <w:tcPr>
            <w:tcW w:w="6902" w:type="dxa"/>
            <w:gridSpan w:val="3"/>
            <w:tcBorders>
              <w:top w:val="double" w:sz="4" w:space="0" w:color="auto"/>
              <w:left w:val="double" w:sz="4" w:space="0" w:color="auto"/>
              <w:bottom w:val="double" w:sz="4" w:space="0" w:color="auto"/>
              <w:right w:val="double" w:sz="4" w:space="0" w:color="auto"/>
            </w:tcBorders>
            <w:shd w:val="clear" w:color="auto" w:fill="E5B8B7" w:themeFill="accent2" w:themeFillTint="66"/>
          </w:tcPr>
          <w:p w:rsidR="00F43ECD" w:rsidRPr="00CF4C4E" w:rsidRDefault="00F43ECD" w:rsidP="00CF4C4E">
            <w:pPr>
              <w:rPr>
                <w:sz w:val="20"/>
                <w:szCs w:val="20"/>
                <w:lang w:val="en-GB"/>
              </w:rPr>
            </w:pPr>
            <w:r w:rsidRPr="00CF4C4E">
              <w:rPr>
                <w:sz w:val="20"/>
                <w:szCs w:val="20"/>
                <w:lang w:val="en-GB"/>
              </w:rPr>
              <w:t>Implementation period: 2020-2022</w:t>
            </w:r>
          </w:p>
        </w:tc>
        <w:tc>
          <w:tcPr>
            <w:tcW w:w="7230" w:type="dxa"/>
            <w:gridSpan w:val="6"/>
            <w:tcBorders>
              <w:top w:val="double" w:sz="4" w:space="0" w:color="auto"/>
              <w:left w:val="double" w:sz="4" w:space="0" w:color="auto"/>
              <w:bottom w:val="double" w:sz="4" w:space="0" w:color="auto"/>
              <w:right w:val="double" w:sz="4" w:space="0" w:color="auto"/>
            </w:tcBorders>
            <w:shd w:val="clear" w:color="auto" w:fill="E5B8B7" w:themeFill="accent2" w:themeFillTint="66"/>
          </w:tcPr>
          <w:p w:rsidR="00F43ECD" w:rsidRPr="00CF4C4E" w:rsidRDefault="00F43ECD" w:rsidP="00CF4C4E">
            <w:pPr>
              <w:rPr>
                <w:sz w:val="20"/>
                <w:szCs w:val="20"/>
                <w:lang w:val="en-GB"/>
              </w:rPr>
            </w:pPr>
            <w:r w:rsidRPr="00CF4C4E">
              <w:rPr>
                <w:sz w:val="20"/>
                <w:szCs w:val="20"/>
                <w:lang w:val="en-GB"/>
              </w:rPr>
              <w:t>Type of measure: Information and knowledge sharing</w:t>
            </w:r>
          </w:p>
        </w:tc>
      </w:tr>
      <w:tr w:rsidR="004316AD" w:rsidRPr="00CF4C4E" w:rsidTr="00DF0DDF">
        <w:tc>
          <w:tcPr>
            <w:tcW w:w="2792"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Indicator(s) at the level of measure (result indicator):</w:t>
            </w:r>
          </w:p>
        </w:tc>
        <w:tc>
          <w:tcPr>
            <w:tcW w:w="1134"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Unit of measurement</w:t>
            </w:r>
          </w:p>
          <w:p w:rsidR="004316AD" w:rsidRPr="00CF4C4E" w:rsidRDefault="004316AD" w:rsidP="00CF4C4E">
            <w:pPr>
              <w:rPr>
                <w:sz w:val="20"/>
                <w:szCs w:val="20"/>
                <w:lang w:val="en-GB"/>
              </w:rPr>
            </w:pPr>
          </w:p>
        </w:tc>
        <w:tc>
          <w:tcPr>
            <w:tcW w:w="3685" w:type="dxa"/>
            <w:gridSpan w:val="2"/>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Source of verification</w:t>
            </w:r>
          </w:p>
        </w:tc>
        <w:tc>
          <w:tcPr>
            <w:tcW w:w="1134"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 xml:space="preserve">Base value </w:t>
            </w:r>
          </w:p>
        </w:tc>
        <w:tc>
          <w:tcPr>
            <w:tcW w:w="992"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Base year</w:t>
            </w:r>
          </w:p>
        </w:tc>
        <w:tc>
          <w:tcPr>
            <w:tcW w:w="1418"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Target value in 2020</w:t>
            </w:r>
          </w:p>
        </w:tc>
        <w:tc>
          <w:tcPr>
            <w:tcW w:w="1417" w:type="dxa"/>
            <w:tcBorders>
              <w:top w:val="double" w:sz="4" w:space="0" w:color="auto"/>
              <w:right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Target value in 2021</w:t>
            </w:r>
          </w:p>
        </w:tc>
        <w:tc>
          <w:tcPr>
            <w:tcW w:w="1560" w:type="dxa"/>
            <w:tcBorders>
              <w:top w:val="double" w:sz="4" w:space="0" w:color="auto"/>
              <w:right w:val="double" w:sz="4" w:space="0" w:color="auto"/>
            </w:tcBorders>
            <w:shd w:val="clear" w:color="auto" w:fill="D9D9D9" w:themeFill="background1" w:themeFillShade="D9"/>
          </w:tcPr>
          <w:p w:rsidR="004316AD" w:rsidRPr="00CF4C4E" w:rsidRDefault="00885F9C" w:rsidP="00CF4C4E">
            <w:pPr>
              <w:rPr>
                <w:sz w:val="20"/>
                <w:szCs w:val="20"/>
                <w:lang w:val="en-GB"/>
              </w:rPr>
            </w:pPr>
            <w:r w:rsidRPr="00CF4C4E">
              <w:rPr>
                <w:sz w:val="20"/>
                <w:szCs w:val="20"/>
                <w:lang w:val="en-GB"/>
              </w:rPr>
              <w:t>Target value in 2022</w:t>
            </w:r>
          </w:p>
        </w:tc>
      </w:tr>
      <w:tr w:rsidR="00F43ECD" w:rsidRPr="00CF4C4E" w:rsidTr="00DF0DDF">
        <w:tc>
          <w:tcPr>
            <w:tcW w:w="2792" w:type="dxa"/>
            <w:tcBorders>
              <w:top w:val="double" w:sz="4" w:space="0" w:color="auto"/>
              <w:bottom w:val="double" w:sz="4" w:space="0" w:color="auto"/>
            </w:tcBorders>
            <w:shd w:val="clear" w:color="auto" w:fill="FFFFFF" w:themeFill="background1"/>
          </w:tcPr>
          <w:p w:rsidR="00E377E3" w:rsidRPr="00CF4C4E" w:rsidRDefault="00E377E3" w:rsidP="00CF4C4E">
            <w:pPr>
              <w:rPr>
                <w:sz w:val="20"/>
                <w:szCs w:val="20"/>
                <w:lang w:val="en-GB"/>
              </w:rPr>
            </w:pPr>
            <w:r w:rsidRPr="00CF4C4E">
              <w:rPr>
                <w:sz w:val="20"/>
                <w:szCs w:val="20"/>
                <w:lang w:val="en-GB"/>
              </w:rPr>
              <w:t>1. National risk assessment updated and plan of activities to mitigate risks developed</w:t>
            </w:r>
          </w:p>
          <w:p w:rsidR="00F43ECD" w:rsidRPr="00CF4C4E" w:rsidRDefault="00F43ECD" w:rsidP="00CF4C4E">
            <w:pPr>
              <w:rPr>
                <w:sz w:val="20"/>
                <w:szCs w:val="20"/>
                <w:lang w:val="en-GB"/>
              </w:rPr>
            </w:pPr>
          </w:p>
        </w:tc>
        <w:tc>
          <w:tcPr>
            <w:tcW w:w="1134" w:type="dxa"/>
            <w:tcBorders>
              <w:top w:val="double" w:sz="4" w:space="0" w:color="auto"/>
              <w:bottom w:val="double" w:sz="4" w:space="0" w:color="auto"/>
            </w:tcBorders>
            <w:shd w:val="clear" w:color="auto" w:fill="FFFFFF" w:themeFill="background1"/>
          </w:tcPr>
          <w:p w:rsidR="00514CA1" w:rsidRPr="00CF4C4E" w:rsidRDefault="00514CA1" w:rsidP="00CF4C4E">
            <w:pPr>
              <w:rPr>
                <w:sz w:val="20"/>
                <w:szCs w:val="20"/>
                <w:lang w:val="en-GB"/>
              </w:rPr>
            </w:pPr>
            <w:r w:rsidRPr="00CF4C4E">
              <w:rPr>
                <w:sz w:val="20"/>
                <w:szCs w:val="20"/>
                <w:lang w:val="en-GB"/>
              </w:rPr>
              <w:t>Yes/No</w:t>
            </w:r>
          </w:p>
          <w:p w:rsidR="00E377E3" w:rsidRPr="00CF4C4E" w:rsidRDefault="00E377E3" w:rsidP="00CF4C4E">
            <w:pPr>
              <w:rPr>
                <w:sz w:val="20"/>
                <w:szCs w:val="20"/>
                <w:lang w:val="en-GB"/>
              </w:rPr>
            </w:pPr>
          </w:p>
        </w:tc>
        <w:tc>
          <w:tcPr>
            <w:tcW w:w="3685" w:type="dxa"/>
            <w:gridSpan w:val="2"/>
            <w:tcBorders>
              <w:top w:val="double" w:sz="4" w:space="0" w:color="auto"/>
              <w:bottom w:val="double" w:sz="4" w:space="0" w:color="auto"/>
            </w:tcBorders>
            <w:shd w:val="clear" w:color="auto" w:fill="FFFFFF" w:themeFill="background1"/>
          </w:tcPr>
          <w:p w:rsidR="00F43ECD" w:rsidRPr="00CF4C4E" w:rsidRDefault="000435FD" w:rsidP="00CF4C4E">
            <w:pPr>
              <w:rPr>
                <w:sz w:val="20"/>
                <w:szCs w:val="20"/>
                <w:lang w:val="en-GB"/>
              </w:rPr>
            </w:pPr>
            <w:r w:rsidRPr="00CF4C4E">
              <w:rPr>
                <w:sz w:val="20"/>
                <w:szCs w:val="20"/>
                <w:lang w:val="en-GB"/>
              </w:rPr>
              <w:t>National risk assessment report; Work plans, bulletins and annual reports; Supervisors’ reports; Training reports and reports about presentation of NRA findings</w:t>
            </w:r>
          </w:p>
          <w:p w:rsidR="00327445" w:rsidRPr="00CF4C4E" w:rsidRDefault="00327445" w:rsidP="00CF4C4E">
            <w:pPr>
              <w:rPr>
                <w:sz w:val="20"/>
                <w:szCs w:val="20"/>
                <w:lang w:val="en-GB"/>
              </w:rPr>
            </w:pPr>
          </w:p>
        </w:tc>
        <w:tc>
          <w:tcPr>
            <w:tcW w:w="1134" w:type="dxa"/>
            <w:tcBorders>
              <w:top w:val="double" w:sz="4" w:space="0" w:color="auto"/>
              <w:bottom w:val="double" w:sz="4" w:space="0" w:color="auto"/>
            </w:tcBorders>
            <w:shd w:val="clear" w:color="auto" w:fill="FFFFFF" w:themeFill="background1"/>
          </w:tcPr>
          <w:p w:rsidR="00F43ECD" w:rsidRPr="00CF4C4E" w:rsidRDefault="000435FD" w:rsidP="00CF4C4E">
            <w:pPr>
              <w:shd w:val="clear" w:color="auto" w:fill="FFFFFF" w:themeFill="background1"/>
              <w:rPr>
                <w:sz w:val="20"/>
                <w:szCs w:val="20"/>
                <w:lang w:val="en-GB"/>
              </w:rPr>
            </w:pPr>
            <w:r w:rsidRPr="00CF4C4E">
              <w:rPr>
                <w:sz w:val="20"/>
                <w:szCs w:val="20"/>
                <w:lang w:val="en-GB"/>
              </w:rPr>
              <w:lastRenderedPageBreak/>
              <w:t>No</w:t>
            </w:r>
          </w:p>
        </w:tc>
        <w:tc>
          <w:tcPr>
            <w:tcW w:w="992" w:type="dxa"/>
            <w:tcBorders>
              <w:top w:val="double" w:sz="4" w:space="0" w:color="auto"/>
              <w:bottom w:val="double" w:sz="4" w:space="0" w:color="auto"/>
            </w:tcBorders>
            <w:shd w:val="clear" w:color="auto" w:fill="FFFFFF" w:themeFill="background1"/>
          </w:tcPr>
          <w:p w:rsidR="00F43ECD" w:rsidRPr="00CF4C4E" w:rsidRDefault="00D648D0" w:rsidP="00CF4C4E">
            <w:pPr>
              <w:shd w:val="clear" w:color="auto" w:fill="FFFFFF" w:themeFill="background1"/>
              <w:rPr>
                <w:sz w:val="20"/>
                <w:szCs w:val="20"/>
                <w:lang w:val="en-GB"/>
              </w:rPr>
            </w:pPr>
            <w:r w:rsidRPr="00CF4C4E">
              <w:rPr>
                <w:sz w:val="20"/>
                <w:szCs w:val="20"/>
                <w:lang w:val="en-GB"/>
              </w:rPr>
              <w:t>2019</w:t>
            </w:r>
          </w:p>
        </w:tc>
        <w:tc>
          <w:tcPr>
            <w:tcW w:w="1418" w:type="dxa"/>
            <w:tcBorders>
              <w:top w:val="double" w:sz="4" w:space="0" w:color="auto"/>
              <w:bottom w:val="double" w:sz="4" w:space="0" w:color="auto"/>
            </w:tcBorders>
            <w:shd w:val="clear" w:color="auto" w:fill="FFFFFF" w:themeFill="background1"/>
          </w:tcPr>
          <w:p w:rsidR="00F43ECD" w:rsidRPr="00CF4C4E" w:rsidRDefault="002D69E2" w:rsidP="00CF4C4E">
            <w:pPr>
              <w:shd w:val="clear" w:color="auto" w:fill="FFFFFF" w:themeFill="background1"/>
              <w:rPr>
                <w:sz w:val="20"/>
                <w:szCs w:val="20"/>
                <w:lang w:val="en-GB"/>
              </w:rPr>
            </w:pPr>
            <w:r w:rsidRPr="00CF4C4E">
              <w:rPr>
                <w:sz w:val="20"/>
                <w:szCs w:val="20"/>
                <w:lang w:val="en-GB"/>
              </w:rPr>
              <w:t>No</w:t>
            </w:r>
          </w:p>
        </w:tc>
        <w:tc>
          <w:tcPr>
            <w:tcW w:w="1417" w:type="dxa"/>
            <w:tcBorders>
              <w:top w:val="double" w:sz="4" w:space="0" w:color="auto"/>
              <w:bottom w:val="double" w:sz="4" w:space="0" w:color="auto"/>
              <w:right w:val="double" w:sz="4" w:space="0" w:color="auto"/>
            </w:tcBorders>
            <w:shd w:val="clear" w:color="auto" w:fill="FFFFFF" w:themeFill="background1"/>
          </w:tcPr>
          <w:p w:rsidR="00F43ECD" w:rsidRPr="00CF4C4E" w:rsidRDefault="002D69E2" w:rsidP="00CF4C4E">
            <w:pPr>
              <w:shd w:val="clear" w:color="auto" w:fill="FFFFFF" w:themeFill="background1"/>
              <w:rPr>
                <w:sz w:val="20"/>
                <w:szCs w:val="20"/>
                <w:lang w:val="en-GB"/>
              </w:rPr>
            </w:pPr>
            <w:r w:rsidRPr="00CF4C4E">
              <w:rPr>
                <w:sz w:val="20"/>
                <w:szCs w:val="20"/>
                <w:lang w:val="en-GB"/>
              </w:rPr>
              <w:t>Yes.</w:t>
            </w:r>
          </w:p>
        </w:tc>
        <w:tc>
          <w:tcPr>
            <w:tcW w:w="1560" w:type="dxa"/>
            <w:tcBorders>
              <w:top w:val="double" w:sz="4" w:space="0" w:color="auto"/>
              <w:bottom w:val="double" w:sz="4" w:space="0" w:color="auto"/>
              <w:right w:val="double" w:sz="4" w:space="0" w:color="auto"/>
            </w:tcBorders>
            <w:shd w:val="clear" w:color="auto" w:fill="FFFFFF" w:themeFill="background1"/>
          </w:tcPr>
          <w:p w:rsidR="00F43ECD" w:rsidRPr="00CF4C4E" w:rsidRDefault="002D69E2" w:rsidP="00CF4C4E">
            <w:pPr>
              <w:shd w:val="clear" w:color="auto" w:fill="FFFFFF" w:themeFill="background1"/>
              <w:rPr>
                <w:sz w:val="20"/>
                <w:szCs w:val="20"/>
                <w:lang w:val="en-GB"/>
              </w:rPr>
            </w:pPr>
            <w:r w:rsidRPr="00CF4C4E">
              <w:rPr>
                <w:sz w:val="20"/>
                <w:szCs w:val="20"/>
                <w:lang w:val="en-GB"/>
              </w:rPr>
              <w:t>Yes.</w:t>
            </w:r>
          </w:p>
        </w:tc>
      </w:tr>
      <w:tr w:rsidR="002D69E2" w:rsidRPr="00CF4C4E" w:rsidTr="00DF0DDF">
        <w:tc>
          <w:tcPr>
            <w:tcW w:w="2792" w:type="dxa"/>
            <w:tcBorders>
              <w:top w:val="double" w:sz="4" w:space="0" w:color="auto"/>
              <w:bottom w:val="double" w:sz="4" w:space="0" w:color="auto"/>
            </w:tcBorders>
            <w:shd w:val="clear" w:color="auto" w:fill="FFFFFF" w:themeFill="background1"/>
          </w:tcPr>
          <w:p w:rsidR="002D69E2" w:rsidRPr="00CF4C4E" w:rsidRDefault="005F240E" w:rsidP="00CF4C4E">
            <w:pPr>
              <w:rPr>
                <w:sz w:val="20"/>
                <w:szCs w:val="20"/>
                <w:lang w:val="en-GB"/>
              </w:rPr>
            </w:pPr>
            <w:r w:rsidRPr="00CF4C4E">
              <w:rPr>
                <w:sz w:val="20"/>
                <w:szCs w:val="20"/>
                <w:lang w:val="en-GB"/>
              </w:rPr>
              <w:lastRenderedPageBreak/>
              <w:t>2. Plan of activities to mitigate risks in line with the updated NRA is implemented</w:t>
            </w:r>
          </w:p>
          <w:p w:rsidR="002D69E2" w:rsidRPr="00CF4C4E" w:rsidRDefault="002D69E2" w:rsidP="00CF4C4E">
            <w:pPr>
              <w:rPr>
                <w:sz w:val="20"/>
                <w:szCs w:val="20"/>
                <w:lang w:val="en-GB"/>
              </w:rPr>
            </w:pPr>
          </w:p>
        </w:tc>
        <w:tc>
          <w:tcPr>
            <w:tcW w:w="1134" w:type="dxa"/>
            <w:tcBorders>
              <w:top w:val="double" w:sz="4" w:space="0" w:color="auto"/>
              <w:bottom w:val="double" w:sz="4" w:space="0" w:color="auto"/>
            </w:tcBorders>
            <w:shd w:val="clear" w:color="auto" w:fill="FFFFFF" w:themeFill="background1"/>
          </w:tcPr>
          <w:p w:rsidR="002D69E2" w:rsidRPr="00CF4C4E" w:rsidRDefault="002D69E2" w:rsidP="00CF4C4E">
            <w:pPr>
              <w:rPr>
                <w:sz w:val="20"/>
                <w:szCs w:val="20"/>
                <w:lang w:val="en-GB"/>
              </w:rPr>
            </w:pPr>
            <w:r w:rsidRPr="00CF4C4E">
              <w:rPr>
                <w:sz w:val="20"/>
                <w:szCs w:val="20"/>
                <w:lang w:val="en-GB"/>
              </w:rPr>
              <w:t>Yes/No</w:t>
            </w:r>
          </w:p>
        </w:tc>
        <w:tc>
          <w:tcPr>
            <w:tcW w:w="3685" w:type="dxa"/>
            <w:gridSpan w:val="2"/>
            <w:tcBorders>
              <w:top w:val="double" w:sz="4" w:space="0" w:color="auto"/>
              <w:bottom w:val="double" w:sz="4" w:space="0" w:color="auto"/>
            </w:tcBorders>
            <w:shd w:val="clear" w:color="auto" w:fill="FFFFFF" w:themeFill="background1"/>
          </w:tcPr>
          <w:p w:rsidR="002D69E2" w:rsidRPr="00CF4C4E" w:rsidRDefault="00A42156" w:rsidP="00CF4C4E">
            <w:pPr>
              <w:rPr>
                <w:sz w:val="20"/>
                <w:szCs w:val="20"/>
                <w:lang w:val="en-GB"/>
              </w:rPr>
            </w:pPr>
            <w:r w:rsidRPr="00CF4C4E">
              <w:rPr>
                <w:sz w:val="20"/>
                <w:szCs w:val="20"/>
                <w:lang w:val="en-GB"/>
              </w:rPr>
              <w:t>Relevant activities incorporated in the national Action Plan; Work plans, bulletins and annual reports; Supervisors’ reports; Training reports and reports about presentation of NRA findings</w:t>
            </w:r>
          </w:p>
        </w:tc>
        <w:tc>
          <w:tcPr>
            <w:tcW w:w="1134" w:type="dxa"/>
            <w:tcBorders>
              <w:top w:val="double" w:sz="4" w:space="0" w:color="auto"/>
              <w:bottom w:val="double" w:sz="4" w:space="0" w:color="auto"/>
            </w:tcBorders>
            <w:shd w:val="clear" w:color="auto" w:fill="FFFFFF" w:themeFill="background1"/>
          </w:tcPr>
          <w:p w:rsidR="002D69E2" w:rsidRPr="00CF4C4E" w:rsidRDefault="00A42156" w:rsidP="00CF4C4E">
            <w:pPr>
              <w:shd w:val="clear" w:color="auto" w:fill="FFFFFF" w:themeFill="background1"/>
              <w:rPr>
                <w:sz w:val="20"/>
                <w:szCs w:val="20"/>
                <w:lang w:val="en-GB"/>
              </w:rPr>
            </w:pPr>
            <w:r w:rsidRPr="00CF4C4E">
              <w:rPr>
                <w:sz w:val="20"/>
                <w:szCs w:val="20"/>
                <w:lang w:val="en-GB"/>
              </w:rPr>
              <w:t>No</w:t>
            </w:r>
          </w:p>
        </w:tc>
        <w:tc>
          <w:tcPr>
            <w:tcW w:w="992" w:type="dxa"/>
            <w:tcBorders>
              <w:top w:val="double" w:sz="4" w:space="0" w:color="auto"/>
              <w:bottom w:val="double" w:sz="4" w:space="0" w:color="auto"/>
            </w:tcBorders>
            <w:shd w:val="clear" w:color="auto" w:fill="FFFFFF" w:themeFill="background1"/>
          </w:tcPr>
          <w:p w:rsidR="002D69E2" w:rsidRPr="00CF4C4E" w:rsidRDefault="002D69E2" w:rsidP="00CF4C4E">
            <w:pPr>
              <w:shd w:val="clear" w:color="auto" w:fill="FFFFFF" w:themeFill="background1"/>
              <w:rPr>
                <w:sz w:val="20"/>
                <w:szCs w:val="20"/>
                <w:lang w:val="en-GB"/>
              </w:rPr>
            </w:pPr>
            <w:r w:rsidRPr="00CF4C4E">
              <w:rPr>
                <w:sz w:val="20"/>
                <w:szCs w:val="20"/>
                <w:lang w:val="en-GB"/>
              </w:rPr>
              <w:t>2019</w:t>
            </w:r>
          </w:p>
        </w:tc>
        <w:tc>
          <w:tcPr>
            <w:tcW w:w="1418" w:type="dxa"/>
            <w:tcBorders>
              <w:top w:val="double" w:sz="4" w:space="0" w:color="auto"/>
              <w:bottom w:val="double" w:sz="4" w:space="0" w:color="auto"/>
            </w:tcBorders>
            <w:shd w:val="clear" w:color="auto" w:fill="FFFFFF" w:themeFill="background1"/>
          </w:tcPr>
          <w:p w:rsidR="002D69E2" w:rsidRPr="00CF4C4E" w:rsidRDefault="002D69E2" w:rsidP="00CF4C4E">
            <w:pPr>
              <w:shd w:val="clear" w:color="auto" w:fill="FFFFFF" w:themeFill="background1"/>
              <w:rPr>
                <w:sz w:val="20"/>
                <w:szCs w:val="20"/>
                <w:lang w:val="en-GB"/>
              </w:rPr>
            </w:pPr>
            <w:r w:rsidRPr="00CF4C4E">
              <w:rPr>
                <w:sz w:val="20"/>
                <w:szCs w:val="20"/>
                <w:lang w:val="en-GB"/>
              </w:rPr>
              <w:t>No</w:t>
            </w:r>
          </w:p>
        </w:tc>
        <w:tc>
          <w:tcPr>
            <w:tcW w:w="1417" w:type="dxa"/>
            <w:tcBorders>
              <w:top w:val="double" w:sz="4" w:space="0" w:color="auto"/>
              <w:bottom w:val="double" w:sz="4" w:space="0" w:color="auto"/>
              <w:right w:val="double" w:sz="4" w:space="0" w:color="auto"/>
            </w:tcBorders>
            <w:shd w:val="clear" w:color="auto" w:fill="FFFFFF" w:themeFill="background1"/>
          </w:tcPr>
          <w:p w:rsidR="002D69E2" w:rsidRPr="00CF4C4E" w:rsidRDefault="00A42156" w:rsidP="00CF4C4E">
            <w:pPr>
              <w:shd w:val="clear" w:color="auto" w:fill="FFFFFF" w:themeFill="background1"/>
              <w:rPr>
                <w:sz w:val="20"/>
                <w:szCs w:val="20"/>
                <w:lang w:val="en-GB"/>
              </w:rPr>
            </w:pPr>
            <w:r w:rsidRPr="00CF4C4E">
              <w:rPr>
                <w:sz w:val="20"/>
                <w:szCs w:val="20"/>
                <w:lang w:val="en-GB"/>
              </w:rPr>
              <w:t>No</w:t>
            </w:r>
          </w:p>
        </w:tc>
        <w:tc>
          <w:tcPr>
            <w:tcW w:w="1560" w:type="dxa"/>
            <w:tcBorders>
              <w:top w:val="double" w:sz="4" w:space="0" w:color="auto"/>
              <w:bottom w:val="double" w:sz="4" w:space="0" w:color="auto"/>
              <w:right w:val="double" w:sz="4" w:space="0" w:color="auto"/>
            </w:tcBorders>
            <w:shd w:val="clear" w:color="auto" w:fill="FFFFFF" w:themeFill="background1"/>
          </w:tcPr>
          <w:p w:rsidR="002D69E2" w:rsidRPr="00CF4C4E" w:rsidRDefault="002D69E2" w:rsidP="00CF4C4E">
            <w:pPr>
              <w:shd w:val="clear" w:color="auto" w:fill="FFFFFF" w:themeFill="background1"/>
              <w:rPr>
                <w:sz w:val="20"/>
                <w:szCs w:val="20"/>
                <w:lang w:val="en-GB"/>
              </w:rPr>
            </w:pPr>
            <w:r w:rsidRPr="00CF4C4E">
              <w:rPr>
                <w:sz w:val="20"/>
                <w:szCs w:val="20"/>
                <w:lang w:val="en-GB"/>
              </w:rPr>
              <w:t>Yes.</w:t>
            </w:r>
          </w:p>
        </w:tc>
      </w:tr>
    </w:tbl>
    <w:p w:rsidR="00F43ECD" w:rsidRPr="00CF4C4E" w:rsidRDefault="00F43ECD" w:rsidP="00CF4C4E">
      <w:pPr>
        <w:rPr>
          <w:sz w:val="20"/>
          <w:szCs w:val="20"/>
          <w:lang w:val="en-GB"/>
        </w:rPr>
      </w:pPr>
    </w:p>
    <w:tbl>
      <w:tblPr>
        <w:tblStyle w:val="TableGrid"/>
        <w:tblW w:w="5000" w:type="pct"/>
        <w:tblLayout w:type="fixed"/>
        <w:tblLook w:val="04A0"/>
      </w:tblPr>
      <w:tblGrid>
        <w:gridCol w:w="2362"/>
        <w:gridCol w:w="1128"/>
        <w:gridCol w:w="1222"/>
        <w:gridCol w:w="1145"/>
        <w:gridCol w:w="1766"/>
        <w:gridCol w:w="1134"/>
        <w:gridCol w:w="1732"/>
        <w:gridCol w:w="1829"/>
        <w:gridCol w:w="1857"/>
      </w:tblGrid>
      <w:tr w:rsidR="00B267CF" w:rsidRPr="00CF4C4E" w:rsidTr="00DB3306">
        <w:trPr>
          <w:trHeight w:val="140"/>
          <w:tblHeader/>
        </w:trPr>
        <w:tc>
          <w:tcPr>
            <w:tcW w:w="833" w:type="pct"/>
            <w:vMerge w:val="restart"/>
            <w:tcBorders>
              <w:top w:val="double" w:sz="4" w:space="0" w:color="auto"/>
              <w:left w:val="double" w:sz="4" w:space="0" w:color="auto"/>
            </w:tcBorders>
            <w:shd w:val="clear" w:color="auto" w:fill="E5DFEC" w:themeFill="accent4" w:themeFillTint="33"/>
          </w:tcPr>
          <w:p w:rsidR="00B267CF" w:rsidRPr="00CF4C4E" w:rsidRDefault="00B267CF" w:rsidP="00CF4C4E">
            <w:pPr>
              <w:rPr>
                <w:b/>
                <w:sz w:val="20"/>
                <w:szCs w:val="20"/>
                <w:lang w:val="en-GB"/>
              </w:rPr>
            </w:pPr>
            <w:r w:rsidRPr="00CF4C4E">
              <w:rPr>
                <w:b/>
                <w:bCs/>
                <w:sz w:val="20"/>
                <w:szCs w:val="20"/>
                <w:lang w:val="en-GB"/>
              </w:rPr>
              <w:t>Activity title:</w:t>
            </w:r>
          </w:p>
        </w:tc>
        <w:tc>
          <w:tcPr>
            <w:tcW w:w="398" w:type="pct"/>
            <w:vMerge w:val="restart"/>
            <w:tcBorders>
              <w:top w:val="double" w:sz="4" w:space="0" w:color="auto"/>
            </w:tcBorders>
            <w:shd w:val="clear" w:color="auto" w:fill="E5DFEC" w:themeFill="accent4" w:themeFillTint="33"/>
          </w:tcPr>
          <w:p w:rsidR="00B267CF" w:rsidRPr="00CF4C4E" w:rsidRDefault="00B267CF" w:rsidP="00CF4C4E">
            <w:pPr>
              <w:rPr>
                <w:b/>
                <w:sz w:val="20"/>
                <w:szCs w:val="20"/>
                <w:lang w:val="en-GB"/>
              </w:rPr>
            </w:pPr>
            <w:r w:rsidRPr="00CF4C4E">
              <w:rPr>
                <w:b/>
                <w:bCs/>
                <w:sz w:val="20"/>
                <w:szCs w:val="20"/>
                <w:lang w:val="en-GB"/>
              </w:rPr>
              <w:t>Authority implementing the activity</w:t>
            </w:r>
          </w:p>
        </w:tc>
        <w:tc>
          <w:tcPr>
            <w:tcW w:w="431" w:type="pct"/>
            <w:vMerge w:val="restart"/>
            <w:tcBorders>
              <w:top w:val="double" w:sz="4" w:space="0" w:color="auto"/>
            </w:tcBorders>
            <w:shd w:val="clear" w:color="auto" w:fill="E5DFEC" w:themeFill="accent4" w:themeFillTint="33"/>
          </w:tcPr>
          <w:p w:rsidR="00B267CF" w:rsidRPr="00CF4C4E" w:rsidRDefault="00B267CF" w:rsidP="00CF4C4E">
            <w:pPr>
              <w:rPr>
                <w:b/>
                <w:sz w:val="20"/>
                <w:szCs w:val="20"/>
                <w:lang w:val="en-GB"/>
              </w:rPr>
            </w:pPr>
            <w:r w:rsidRPr="00CF4C4E">
              <w:rPr>
                <w:b/>
                <w:bCs/>
                <w:sz w:val="20"/>
                <w:szCs w:val="20"/>
                <w:lang w:val="en-GB"/>
              </w:rPr>
              <w:t>Partners in the implementation of the activity</w:t>
            </w:r>
          </w:p>
        </w:tc>
        <w:tc>
          <w:tcPr>
            <w:tcW w:w="404" w:type="pct"/>
            <w:vMerge w:val="restart"/>
            <w:tcBorders>
              <w:top w:val="double" w:sz="4" w:space="0" w:color="auto"/>
            </w:tcBorders>
            <w:shd w:val="clear" w:color="auto" w:fill="E5DFEC" w:themeFill="accent4" w:themeFillTint="33"/>
          </w:tcPr>
          <w:p w:rsidR="00B267CF" w:rsidRPr="00CF4C4E" w:rsidRDefault="00B267CF" w:rsidP="00CF4C4E">
            <w:pPr>
              <w:jc w:val="center"/>
              <w:rPr>
                <w:b/>
                <w:sz w:val="20"/>
                <w:szCs w:val="20"/>
                <w:lang w:val="en-GB"/>
              </w:rPr>
            </w:pPr>
            <w:r w:rsidRPr="00CF4C4E">
              <w:rPr>
                <w:b/>
                <w:bCs/>
                <w:sz w:val="20"/>
                <w:szCs w:val="20"/>
                <w:lang w:val="en-GB"/>
              </w:rPr>
              <w:t>Deadline for completion of activity</w:t>
            </w:r>
          </w:p>
        </w:tc>
        <w:tc>
          <w:tcPr>
            <w:tcW w:w="623" w:type="pct"/>
            <w:vMerge w:val="restart"/>
            <w:tcBorders>
              <w:top w:val="double" w:sz="4" w:space="0" w:color="auto"/>
            </w:tcBorders>
            <w:shd w:val="clear" w:color="auto" w:fill="E5DFEC" w:themeFill="accent4" w:themeFillTint="33"/>
          </w:tcPr>
          <w:p w:rsidR="00B267CF" w:rsidRPr="00CF4C4E" w:rsidRDefault="00B267CF" w:rsidP="00CF4C4E">
            <w:pPr>
              <w:jc w:val="center"/>
              <w:rPr>
                <w:b/>
                <w:sz w:val="20"/>
                <w:szCs w:val="20"/>
                <w:lang w:val="en-GB"/>
              </w:rPr>
            </w:pPr>
            <w:r w:rsidRPr="00CF4C4E">
              <w:rPr>
                <w:b/>
                <w:bCs/>
                <w:sz w:val="20"/>
                <w:szCs w:val="20"/>
                <w:lang w:val="en-GB"/>
              </w:rPr>
              <w:t>Source of financing</w:t>
            </w:r>
          </w:p>
        </w:tc>
        <w:tc>
          <w:tcPr>
            <w:tcW w:w="400" w:type="pct"/>
            <w:vMerge w:val="restart"/>
            <w:tcBorders>
              <w:top w:val="double" w:sz="4" w:space="0" w:color="auto"/>
            </w:tcBorders>
            <w:shd w:val="clear" w:color="auto" w:fill="E5DFEC" w:themeFill="accent4" w:themeFillTint="33"/>
          </w:tcPr>
          <w:p w:rsidR="00B267CF" w:rsidRPr="00CF4C4E" w:rsidRDefault="00B267CF" w:rsidP="00CF4C4E">
            <w:pPr>
              <w:rPr>
                <w:b/>
                <w:sz w:val="20"/>
                <w:szCs w:val="20"/>
                <w:lang w:val="en-GB"/>
              </w:rPr>
            </w:pPr>
            <w:r w:rsidRPr="00CF4C4E">
              <w:rPr>
                <w:b/>
                <w:bCs/>
                <w:sz w:val="20"/>
                <w:szCs w:val="20"/>
                <w:lang w:val="en-GB"/>
              </w:rPr>
              <w:t>Link to programme budget</w:t>
            </w:r>
          </w:p>
          <w:p w:rsidR="00B267CF" w:rsidRPr="00CF4C4E" w:rsidRDefault="00B267CF" w:rsidP="00CF4C4E">
            <w:pPr>
              <w:jc w:val="center"/>
              <w:rPr>
                <w:b/>
                <w:sz w:val="20"/>
                <w:szCs w:val="20"/>
                <w:lang w:val="en-GB"/>
              </w:rPr>
            </w:pPr>
          </w:p>
        </w:tc>
        <w:tc>
          <w:tcPr>
            <w:tcW w:w="1912" w:type="pct"/>
            <w:gridSpan w:val="3"/>
            <w:tcBorders>
              <w:top w:val="double" w:sz="4" w:space="0" w:color="auto"/>
            </w:tcBorders>
            <w:shd w:val="clear" w:color="auto" w:fill="E5DFEC" w:themeFill="accent4" w:themeFillTint="33"/>
          </w:tcPr>
          <w:p w:rsidR="00B267CF" w:rsidRPr="00CF4C4E" w:rsidRDefault="00B267CF" w:rsidP="00CF4C4E">
            <w:pPr>
              <w:jc w:val="center"/>
              <w:rPr>
                <w:b/>
                <w:sz w:val="20"/>
                <w:szCs w:val="20"/>
                <w:lang w:val="en-GB"/>
              </w:rPr>
            </w:pPr>
            <w:r w:rsidRPr="00CF4C4E">
              <w:rPr>
                <w:b/>
                <w:bCs/>
                <w:sz w:val="20"/>
                <w:szCs w:val="20"/>
                <w:lang w:val="en-GB"/>
              </w:rPr>
              <w:t>Total assessed financial resources by source in RSD 000</w:t>
            </w:r>
            <w:r w:rsidRPr="00CF4C4E">
              <w:rPr>
                <w:rStyle w:val="FootnoteReference"/>
                <w:sz w:val="20"/>
                <w:szCs w:val="20"/>
                <w:lang w:val="en-GB"/>
              </w:rPr>
              <w:t xml:space="preserve"> </w:t>
            </w:r>
          </w:p>
        </w:tc>
      </w:tr>
      <w:tr w:rsidR="00DB34B7" w:rsidRPr="00CF4C4E" w:rsidTr="00DB3306">
        <w:trPr>
          <w:trHeight w:val="386"/>
          <w:tblHeader/>
        </w:trPr>
        <w:tc>
          <w:tcPr>
            <w:tcW w:w="833" w:type="pct"/>
            <w:vMerge/>
            <w:tcBorders>
              <w:left w:val="double" w:sz="4" w:space="0" w:color="auto"/>
            </w:tcBorders>
            <w:shd w:val="clear" w:color="auto" w:fill="E5DFEC" w:themeFill="accent4" w:themeFillTint="33"/>
          </w:tcPr>
          <w:p w:rsidR="00DB34B7" w:rsidRPr="00CF4C4E" w:rsidRDefault="00DB34B7" w:rsidP="00CF4C4E">
            <w:pPr>
              <w:rPr>
                <w:b/>
                <w:sz w:val="20"/>
                <w:szCs w:val="20"/>
                <w:lang w:val="en-GB"/>
              </w:rPr>
            </w:pPr>
          </w:p>
        </w:tc>
        <w:tc>
          <w:tcPr>
            <w:tcW w:w="398" w:type="pct"/>
            <w:vMerge/>
            <w:shd w:val="clear" w:color="auto" w:fill="E5DFEC" w:themeFill="accent4" w:themeFillTint="33"/>
          </w:tcPr>
          <w:p w:rsidR="00DB34B7" w:rsidRPr="00CF4C4E" w:rsidRDefault="00DB34B7" w:rsidP="00CF4C4E">
            <w:pPr>
              <w:rPr>
                <w:b/>
                <w:sz w:val="20"/>
                <w:szCs w:val="20"/>
                <w:lang w:val="en-GB"/>
              </w:rPr>
            </w:pPr>
          </w:p>
        </w:tc>
        <w:tc>
          <w:tcPr>
            <w:tcW w:w="431" w:type="pct"/>
            <w:vMerge/>
            <w:shd w:val="clear" w:color="auto" w:fill="E5DFEC" w:themeFill="accent4" w:themeFillTint="33"/>
          </w:tcPr>
          <w:p w:rsidR="00DB34B7" w:rsidRPr="00CF4C4E" w:rsidRDefault="00DB34B7" w:rsidP="00CF4C4E">
            <w:pPr>
              <w:rPr>
                <w:b/>
                <w:sz w:val="20"/>
                <w:szCs w:val="20"/>
                <w:lang w:val="en-GB"/>
              </w:rPr>
            </w:pPr>
          </w:p>
        </w:tc>
        <w:tc>
          <w:tcPr>
            <w:tcW w:w="404" w:type="pct"/>
            <w:vMerge/>
            <w:shd w:val="clear" w:color="auto" w:fill="E5DFEC" w:themeFill="accent4" w:themeFillTint="33"/>
          </w:tcPr>
          <w:p w:rsidR="00DB34B7" w:rsidRPr="00CF4C4E" w:rsidRDefault="00DB34B7" w:rsidP="00CF4C4E">
            <w:pPr>
              <w:jc w:val="center"/>
              <w:rPr>
                <w:b/>
                <w:sz w:val="20"/>
                <w:szCs w:val="20"/>
                <w:lang w:val="en-GB"/>
              </w:rPr>
            </w:pPr>
          </w:p>
        </w:tc>
        <w:tc>
          <w:tcPr>
            <w:tcW w:w="623" w:type="pct"/>
            <w:vMerge/>
            <w:shd w:val="clear" w:color="auto" w:fill="E5DFEC" w:themeFill="accent4" w:themeFillTint="33"/>
          </w:tcPr>
          <w:p w:rsidR="00DB34B7" w:rsidRPr="00CF4C4E" w:rsidRDefault="00DB34B7" w:rsidP="00CF4C4E">
            <w:pPr>
              <w:jc w:val="center"/>
              <w:rPr>
                <w:b/>
                <w:sz w:val="20"/>
                <w:szCs w:val="20"/>
                <w:lang w:val="en-GB"/>
              </w:rPr>
            </w:pPr>
          </w:p>
        </w:tc>
        <w:tc>
          <w:tcPr>
            <w:tcW w:w="400" w:type="pct"/>
            <w:vMerge/>
            <w:shd w:val="clear" w:color="auto" w:fill="E5DFEC" w:themeFill="accent4" w:themeFillTint="33"/>
          </w:tcPr>
          <w:p w:rsidR="00DB34B7" w:rsidRPr="00CF4C4E" w:rsidRDefault="00DB34B7" w:rsidP="00CF4C4E">
            <w:pPr>
              <w:jc w:val="center"/>
              <w:rPr>
                <w:b/>
                <w:sz w:val="20"/>
                <w:szCs w:val="20"/>
                <w:lang w:val="en-GB"/>
              </w:rPr>
            </w:pPr>
          </w:p>
        </w:tc>
        <w:tc>
          <w:tcPr>
            <w:tcW w:w="611" w:type="pct"/>
            <w:shd w:val="clear" w:color="auto" w:fill="E5DFEC" w:themeFill="accent4" w:themeFillTint="33"/>
          </w:tcPr>
          <w:p w:rsidR="00DB34B7" w:rsidRPr="00CF4C4E" w:rsidRDefault="00DB34B7" w:rsidP="00CF4C4E">
            <w:pPr>
              <w:jc w:val="center"/>
              <w:rPr>
                <w:b/>
                <w:sz w:val="20"/>
                <w:szCs w:val="20"/>
                <w:lang w:val="en-GB"/>
              </w:rPr>
            </w:pPr>
            <w:r w:rsidRPr="00CF4C4E">
              <w:rPr>
                <w:b/>
                <w:bCs/>
                <w:sz w:val="20"/>
                <w:szCs w:val="20"/>
                <w:lang w:val="en-GB"/>
              </w:rPr>
              <w:t>2020</w:t>
            </w:r>
          </w:p>
        </w:tc>
        <w:tc>
          <w:tcPr>
            <w:tcW w:w="645" w:type="pct"/>
            <w:shd w:val="clear" w:color="auto" w:fill="E5DFEC" w:themeFill="accent4" w:themeFillTint="33"/>
          </w:tcPr>
          <w:p w:rsidR="00DB34B7" w:rsidRPr="00CF4C4E" w:rsidRDefault="00DB34B7" w:rsidP="00CF4C4E">
            <w:pPr>
              <w:jc w:val="center"/>
              <w:rPr>
                <w:b/>
                <w:sz w:val="20"/>
                <w:szCs w:val="20"/>
                <w:lang w:val="en-GB"/>
              </w:rPr>
            </w:pPr>
            <w:r w:rsidRPr="00CF4C4E">
              <w:rPr>
                <w:b/>
                <w:bCs/>
                <w:sz w:val="20"/>
                <w:szCs w:val="20"/>
                <w:lang w:val="en-GB"/>
              </w:rPr>
              <w:t>2021</w:t>
            </w:r>
          </w:p>
        </w:tc>
        <w:tc>
          <w:tcPr>
            <w:tcW w:w="656" w:type="pct"/>
            <w:shd w:val="clear" w:color="auto" w:fill="E5DFEC" w:themeFill="accent4" w:themeFillTint="33"/>
          </w:tcPr>
          <w:p w:rsidR="00DB34B7" w:rsidRPr="00CF4C4E" w:rsidRDefault="00DB34B7" w:rsidP="00CF4C4E">
            <w:pPr>
              <w:jc w:val="center"/>
              <w:rPr>
                <w:b/>
                <w:sz w:val="20"/>
                <w:szCs w:val="20"/>
                <w:lang w:val="en-GB"/>
              </w:rPr>
            </w:pPr>
            <w:r w:rsidRPr="00CF4C4E">
              <w:rPr>
                <w:b/>
                <w:bCs/>
                <w:sz w:val="20"/>
                <w:szCs w:val="20"/>
                <w:lang w:val="en-GB"/>
              </w:rPr>
              <w:t>2022</w:t>
            </w:r>
          </w:p>
          <w:p w:rsidR="00DB34B7" w:rsidRPr="00CF4C4E" w:rsidRDefault="00DB34B7" w:rsidP="00CF4C4E">
            <w:pPr>
              <w:jc w:val="center"/>
              <w:rPr>
                <w:b/>
                <w:sz w:val="20"/>
                <w:szCs w:val="20"/>
                <w:lang w:val="en-GB"/>
              </w:rPr>
            </w:pPr>
          </w:p>
        </w:tc>
      </w:tr>
      <w:tr w:rsidR="00DB34B7" w:rsidRPr="00CF4C4E" w:rsidTr="00DB3306">
        <w:trPr>
          <w:trHeight w:val="1280"/>
        </w:trPr>
        <w:tc>
          <w:tcPr>
            <w:tcW w:w="833" w:type="pct"/>
            <w:tcBorders>
              <w:left w:val="double" w:sz="4" w:space="0" w:color="auto"/>
            </w:tcBorders>
          </w:tcPr>
          <w:p w:rsidR="00DB34B7" w:rsidRPr="00CF4C4E" w:rsidRDefault="00DB34B7" w:rsidP="00CF4C4E">
            <w:pPr>
              <w:rPr>
                <w:sz w:val="20"/>
                <w:szCs w:val="20"/>
                <w:lang w:val="en-GB"/>
              </w:rPr>
            </w:pPr>
            <w:r w:rsidRPr="00CF4C4E">
              <w:rPr>
                <w:sz w:val="20"/>
                <w:szCs w:val="20"/>
                <w:lang w:val="en-GB"/>
              </w:rPr>
              <w:t xml:space="preserve">1.1.1 Determining the methodology and updating of the ML/TF NRA </w:t>
            </w:r>
          </w:p>
          <w:p w:rsidR="00DB34B7" w:rsidRPr="00CF4C4E" w:rsidRDefault="00DB34B7" w:rsidP="00CF4C4E">
            <w:pPr>
              <w:rPr>
                <w:sz w:val="20"/>
                <w:szCs w:val="20"/>
                <w:lang w:val="en-GB"/>
              </w:rPr>
            </w:pPr>
          </w:p>
        </w:tc>
        <w:tc>
          <w:tcPr>
            <w:tcW w:w="398" w:type="pct"/>
          </w:tcPr>
          <w:p w:rsidR="00DB34B7" w:rsidRPr="00CF4C4E" w:rsidRDefault="009E1129" w:rsidP="00CF4C4E">
            <w:pPr>
              <w:rPr>
                <w:sz w:val="20"/>
                <w:szCs w:val="20"/>
                <w:lang w:val="en-GB"/>
              </w:rPr>
            </w:pPr>
            <w:r w:rsidRPr="00CF4C4E">
              <w:rPr>
                <w:sz w:val="20"/>
                <w:szCs w:val="20"/>
                <w:lang w:val="en-GB"/>
              </w:rPr>
              <w:t>AML/CFT CB</w:t>
            </w:r>
          </w:p>
        </w:tc>
        <w:tc>
          <w:tcPr>
            <w:tcW w:w="431" w:type="pct"/>
          </w:tcPr>
          <w:p w:rsidR="00DB34B7" w:rsidRPr="00CF4C4E" w:rsidRDefault="00DB34B7" w:rsidP="00CF4C4E">
            <w:pPr>
              <w:rPr>
                <w:sz w:val="20"/>
                <w:szCs w:val="20"/>
                <w:lang w:val="en-GB"/>
              </w:rPr>
            </w:pPr>
            <w:r w:rsidRPr="00CF4C4E">
              <w:rPr>
                <w:sz w:val="20"/>
                <w:szCs w:val="20"/>
                <w:lang w:val="en-GB"/>
              </w:rPr>
              <w:t>All AML/CFT stakeholders, as required</w:t>
            </w:r>
          </w:p>
        </w:tc>
        <w:tc>
          <w:tcPr>
            <w:tcW w:w="404" w:type="pct"/>
          </w:tcPr>
          <w:p w:rsidR="00DB34B7" w:rsidRPr="00CF4C4E" w:rsidRDefault="002D69E2" w:rsidP="00CF4C4E">
            <w:pPr>
              <w:rPr>
                <w:sz w:val="20"/>
                <w:szCs w:val="20"/>
                <w:lang w:val="en-GB"/>
              </w:rPr>
            </w:pPr>
            <w:r w:rsidRPr="00CF4C4E">
              <w:rPr>
                <w:sz w:val="20"/>
                <w:szCs w:val="20"/>
                <w:lang w:val="en-GB"/>
              </w:rPr>
              <w:t>II quarter of 2021</w:t>
            </w:r>
          </w:p>
        </w:tc>
        <w:tc>
          <w:tcPr>
            <w:tcW w:w="623" w:type="pct"/>
          </w:tcPr>
          <w:p w:rsidR="00DB34B7" w:rsidRPr="00CF4C4E" w:rsidRDefault="00DD68A6" w:rsidP="00CF4C4E">
            <w:pPr>
              <w:rPr>
                <w:sz w:val="20"/>
                <w:szCs w:val="20"/>
                <w:lang w:val="en-GB"/>
              </w:rPr>
            </w:pPr>
            <w:r w:rsidRPr="00CF4C4E">
              <w:rPr>
                <w:sz w:val="20"/>
                <w:szCs w:val="20"/>
                <w:lang w:val="en-GB"/>
              </w:rPr>
              <w:t>International donor funds (e.g. EU support to the prevention of ML and TF in Serbia, IPA 2015, OSCE)</w:t>
            </w:r>
          </w:p>
        </w:tc>
        <w:tc>
          <w:tcPr>
            <w:tcW w:w="400" w:type="pct"/>
          </w:tcPr>
          <w:p w:rsidR="00DB34B7" w:rsidRPr="00CF4C4E" w:rsidRDefault="00DB34B7" w:rsidP="00CF4C4E">
            <w:pPr>
              <w:rPr>
                <w:sz w:val="20"/>
                <w:szCs w:val="20"/>
                <w:lang w:val="en-GB"/>
              </w:rPr>
            </w:pPr>
          </w:p>
        </w:tc>
        <w:tc>
          <w:tcPr>
            <w:tcW w:w="611" w:type="pct"/>
          </w:tcPr>
          <w:p w:rsidR="00DB34B7" w:rsidRPr="00CF4C4E" w:rsidRDefault="00DB34B7" w:rsidP="00CF4C4E">
            <w:pPr>
              <w:rPr>
                <w:sz w:val="20"/>
                <w:szCs w:val="20"/>
                <w:lang w:val="en-GB"/>
              </w:rPr>
            </w:pPr>
          </w:p>
        </w:tc>
        <w:tc>
          <w:tcPr>
            <w:tcW w:w="645" w:type="pct"/>
          </w:tcPr>
          <w:p w:rsidR="00DB34B7" w:rsidRPr="00CF4C4E" w:rsidRDefault="00DB34B7" w:rsidP="00CF4C4E">
            <w:pPr>
              <w:pStyle w:val="CommentText"/>
              <w:rPr>
                <w:color w:val="FF0000"/>
                <w:highlight w:val="yellow"/>
                <w:lang w:val="en-GB"/>
              </w:rPr>
            </w:pPr>
          </w:p>
        </w:tc>
        <w:tc>
          <w:tcPr>
            <w:tcW w:w="656" w:type="pct"/>
          </w:tcPr>
          <w:p w:rsidR="00DB34B7" w:rsidRPr="00CF4C4E" w:rsidRDefault="00DB34B7" w:rsidP="00CF4C4E">
            <w:pPr>
              <w:rPr>
                <w:sz w:val="20"/>
                <w:szCs w:val="20"/>
                <w:lang w:val="en-GB"/>
              </w:rPr>
            </w:pPr>
          </w:p>
        </w:tc>
      </w:tr>
      <w:tr w:rsidR="00363221" w:rsidRPr="00CF4C4E" w:rsidTr="00DB3306">
        <w:trPr>
          <w:trHeight w:val="787"/>
        </w:trPr>
        <w:tc>
          <w:tcPr>
            <w:tcW w:w="833" w:type="pct"/>
            <w:tcBorders>
              <w:left w:val="double" w:sz="4" w:space="0" w:color="auto"/>
            </w:tcBorders>
          </w:tcPr>
          <w:p w:rsidR="00363221" w:rsidRPr="00CF4C4E" w:rsidRDefault="00363221" w:rsidP="00CF4C4E">
            <w:pPr>
              <w:rPr>
                <w:sz w:val="20"/>
                <w:szCs w:val="20"/>
                <w:lang w:val="en-GB"/>
              </w:rPr>
            </w:pPr>
            <w:r w:rsidRPr="00CF4C4E">
              <w:rPr>
                <w:sz w:val="20"/>
                <w:szCs w:val="20"/>
                <w:lang w:val="en-GB"/>
              </w:rPr>
              <w:t>1.1.2. Prepare a plan of activities to mitigate risks established as a result of the activity under 1.1.1.</w:t>
            </w:r>
          </w:p>
        </w:tc>
        <w:tc>
          <w:tcPr>
            <w:tcW w:w="398" w:type="pct"/>
          </w:tcPr>
          <w:p w:rsidR="00363221" w:rsidRPr="00CF4C4E" w:rsidRDefault="00363221" w:rsidP="00CF4C4E">
            <w:pPr>
              <w:rPr>
                <w:sz w:val="20"/>
                <w:szCs w:val="20"/>
                <w:lang w:val="en-GB"/>
              </w:rPr>
            </w:pPr>
            <w:r w:rsidRPr="00CF4C4E">
              <w:rPr>
                <w:sz w:val="20"/>
                <w:szCs w:val="20"/>
                <w:lang w:val="en-GB"/>
              </w:rPr>
              <w:t>AML/CFT CB</w:t>
            </w:r>
          </w:p>
        </w:tc>
        <w:tc>
          <w:tcPr>
            <w:tcW w:w="431" w:type="pct"/>
          </w:tcPr>
          <w:p w:rsidR="00363221" w:rsidRPr="00CF4C4E" w:rsidRDefault="00363221" w:rsidP="00CF4C4E">
            <w:pPr>
              <w:rPr>
                <w:sz w:val="20"/>
                <w:szCs w:val="20"/>
                <w:lang w:val="en-GB"/>
              </w:rPr>
            </w:pPr>
            <w:r w:rsidRPr="00CF4C4E">
              <w:rPr>
                <w:sz w:val="20"/>
                <w:szCs w:val="20"/>
                <w:lang w:val="en-GB"/>
              </w:rPr>
              <w:t>All AML/CFT stakeholders, as required</w:t>
            </w:r>
          </w:p>
        </w:tc>
        <w:tc>
          <w:tcPr>
            <w:tcW w:w="404" w:type="pct"/>
          </w:tcPr>
          <w:p w:rsidR="00363221" w:rsidRPr="00CF4C4E" w:rsidRDefault="00363221" w:rsidP="00CF4C4E">
            <w:pPr>
              <w:rPr>
                <w:sz w:val="20"/>
                <w:szCs w:val="20"/>
                <w:lang w:val="en-GB"/>
              </w:rPr>
            </w:pPr>
            <w:r w:rsidRPr="00CF4C4E">
              <w:rPr>
                <w:sz w:val="20"/>
                <w:szCs w:val="20"/>
                <w:lang w:val="en-GB"/>
              </w:rPr>
              <w:t>II quarter of 2022</w:t>
            </w:r>
          </w:p>
        </w:tc>
        <w:tc>
          <w:tcPr>
            <w:tcW w:w="623" w:type="pct"/>
          </w:tcPr>
          <w:p w:rsidR="00363221" w:rsidRPr="00CF4C4E" w:rsidRDefault="00363221" w:rsidP="00CF4C4E">
            <w:pPr>
              <w:rPr>
                <w:sz w:val="20"/>
                <w:szCs w:val="20"/>
                <w:lang w:val="en-GB"/>
              </w:rPr>
            </w:pPr>
            <w:r w:rsidRPr="00CF4C4E">
              <w:rPr>
                <w:sz w:val="20"/>
                <w:szCs w:val="20"/>
                <w:lang w:val="en-GB"/>
              </w:rPr>
              <w:t>Financed as part of regular activities of staff</w:t>
            </w:r>
          </w:p>
          <w:p w:rsidR="00C36273" w:rsidRPr="00CF4C4E" w:rsidRDefault="00C36273" w:rsidP="00CF4C4E">
            <w:pPr>
              <w:rPr>
                <w:sz w:val="20"/>
                <w:szCs w:val="20"/>
                <w:lang w:val="en-GB"/>
              </w:rPr>
            </w:pPr>
          </w:p>
          <w:p w:rsidR="00363221" w:rsidRPr="00CF4C4E" w:rsidRDefault="00C36273" w:rsidP="00CF4C4E">
            <w:pPr>
              <w:rPr>
                <w:sz w:val="20"/>
                <w:szCs w:val="20"/>
                <w:lang w:val="en-GB"/>
              </w:rPr>
            </w:pPr>
            <w:r w:rsidRPr="00CF4C4E">
              <w:rPr>
                <w:sz w:val="20"/>
                <w:szCs w:val="20"/>
                <w:lang w:val="en-GB"/>
              </w:rPr>
              <w:t>International donor funds (e.g. EU support to the prevention of ML and TF in Serbia, IPA 2015, OSCE)</w:t>
            </w:r>
          </w:p>
        </w:tc>
        <w:tc>
          <w:tcPr>
            <w:tcW w:w="400" w:type="pct"/>
          </w:tcPr>
          <w:p w:rsidR="00363221" w:rsidRPr="00CF4C4E" w:rsidRDefault="00363221" w:rsidP="00CF4C4E">
            <w:pPr>
              <w:rPr>
                <w:sz w:val="20"/>
                <w:szCs w:val="20"/>
                <w:lang w:val="en-GB"/>
              </w:rPr>
            </w:pPr>
          </w:p>
        </w:tc>
        <w:tc>
          <w:tcPr>
            <w:tcW w:w="611" w:type="pct"/>
          </w:tcPr>
          <w:p w:rsidR="00363221" w:rsidRPr="00CF4C4E" w:rsidRDefault="00363221" w:rsidP="00CF4C4E">
            <w:pPr>
              <w:rPr>
                <w:sz w:val="20"/>
                <w:szCs w:val="20"/>
                <w:lang w:val="en-GB"/>
              </w:rPr>
            </w:pPr>
          </w:p>
        </w:tc>
        <w:tc>
          <w:tcPr>
            <w:tcW w:w="645" w:type="pct"/>
          </w:tcPr>
          <w:p w:rsidR="00363221" w:rsidRPr="00CF4C4E" w:rsidRDefault="00363221" w:rsidP="00CF4C4E">
            <w:pPr>
              <w:pStyle w:val="CommentText"/>
              <w:rPr>
                <w:color w:val="FF0000"/>
                <w:highlight w:val="yellow"/>
                <w:lang w:val="en-GB"/>
              </w:rPr>
            </w:pPr>
          </w:p>
        </w:tc>
        <w:tc>
          <w:tcPr>
            <w:tcW w:w="656" w:type="pct"/>
          </w:tcPr>
          <w:p w:rsidR="00363221" w:rsidRPr="00CF4C4E" w:rsidRDefault="00363221" w:rsidP="00CF4C4E">
            <w:pPr>
              <w:rPr>
                <w:sz w:val="20"/>
                <w:szCs w:val="20"/>
                <w:lang w:val="en-GB"/>
              </w:rPr>
            </w:pPr>
          </w:p>
        </w:tc>
      </w:tr>
      <w:tr w:rsidR="00363221" w:rsidRPr="00CF4C4E" w:rsidTr="00DB3306">
        <w:trPr>
          <w:trHeight w:val="1681"/>
        </w:trPr>
        <w:tc>
          <w:tcPr>
            <w:tcW w:w="833" w:type="pct"/>
            <w:tcBorders>
              <w:left w:val="double" w:sz="4" w:space="0" w:color="auto"/>
            </w:tcBorders>
          </w:tcPr>
          <w:p w:rsidR="00DA0EC2" w:rsidRPr="00CF4C4E" w:rsidRDefault="00363221" w:rsidP="00CF4C4E">
            <w:pPr>
              <w:rPr>
                <w:sz w:val="20"/>
                <w:szCs w:val="20"/>
                <w:lang w:val="en-GB"/>
              </w:rPr>
            </w:pPr>
            <w:r w:rsidRPr="00CF4C4E">
              <w:rPr>
                <w:sz w:val="20"/>
                <w:szCs w:val="20"/>
                <w:lang w:val="en-GB"/>
              </w:rPr>
              <w:t>1.1.3 Presentation of NRA findings to all stakeholders and encouraging them to apply the appropriate findings and guidance in their work with the aim of mitigating the risks found</w:t>
            </w:r>
          </w:p>
        </w:tc>
        <w:tc>
          <w:tcPr>
            <w:tcW w:w="398" w:type="pct"/>
          </w:tcPr>
          <w:p w:rsidR="00363221" w:rsidRPr="00CF4C4E" w:rsidRDefault="00363221" w:rsidP="00CF4C4E">
            <w:pPr>
              <w:rPr>
                <w:sz w:val="20"/>
                <w:szCs w:val="20"/>
                <w:lang w:val="en-GB"/>
              </w:rPr>
            </w:pPr>
            <w:r w:rsidRPr="00CF4C4E">
              <w:rPr>
                <w:sz w:val="20"/>
                <w:szCs w:val="20"/>
                <w:lang w:val="en-GB"/>
              </w:rPr>
              <w:t>AML/CFT CB</w:t>
            </w:r>
          </w:p>
        </w:tc>
        <w:tc>
          <w:tcPr>
            <w:tcW w:w="431" w:type="pct"/>
          </w:tcPr>
          <w:p w:rsidR="00363221" w:rsidRPr="00CF4C4E" w:rsidRDefault="00363221" w:rsidP="00CF4C4E">
            <w:pPr>
              <w:rPr>
                <w:sz w:val="20"/>
                <w:szCs w:val="20"/>
                <w:lang w:val="en-GB"/>
              </w:rPr>
            </w:pPr>
            <w:r w:rsidRPr="00CF4C4E">
              <w:rPr>
                <w:sz w:val="20"/>
                <w:szCs w:val="20"/>
                <w:lang w:val="en-GB"/>
              </w:rPr>
              <w:t>Private sector (e.g. professional associations), non-profit sector</w:t>
            </w:r>
          </w:p>
        </w:tc>
        <w:tc>
          <w:tcPr>
            <w:tcW w:w="404" w:type="pct"/>
          </w:tcPr>
          <w:p w:rsidR="00363221" w:rsidRPr="00CF4C4E" w:rsidRDefault="00363221" w:rsidP="00CF4C4E">
            <w:pPr>
              <w:rPr>
                <w:sz w:val="20"/>
                <w:szCs w:val="20"/>
                <w:lang w:val="en-GB"/>
              </w:rPr>
            </w:pPr>
            <w:r w:rsidRPr="00CF4C4E">
              <w:rPr>
                <w:sz w:val="20"/>
                <w:szCs w:val="20"/>
                <w:lang w:val="en-GB"/>
              </w:rPr>
              <w:t>I quarter of 2022</w:t>
            </w:r>
          </w:p>
        </w:tc>
        <w:tc>
          <w:tcPr>
            <w:tcW w:w="623" w:type="pct"/>
          </w:tcPr>
          <w:p w:rsidR="00363221" w:rsidRPr="00CF4C4E" w:rsidRDefault="00363221" w:rsidP="00CF4C4E">
            <w:pPr>
              <w:rPr>
                <w:sz w:val="20"/>
                <w:szCs w:val="20"/>
                <w:lang w:val="en-GB"/>
              </w:rPr>
            </w:pPr>
            <w:r w:rsidRPr="00CF4C4E">
              <w:rPr>
                <w:sz w:val="20"/>
                <w:szCs w:val="20"/>
                <w:lang w:val="en-GB"/>
              </w:rPr>
              <w:t xml:space="preserve">International donor funds (e.g. EU support to the prevention of ML and TF in Serbia, IPA 2015, OSCE) </w:t>
            </w:r>
          </w:p>
        </w:tc>
        <w:tc>
          <w:tcPr>
            <w:tcW w:w="400" w:type="pct"/>
          </w:tcPr>
          <w:p w:rsidR="00363221" w:rsidRPr="00CF4C4E" w:rsidRDefault="00363221" w:rsidP="00CF4C4E">
            <w:pPr>
              <w:rPr>
                <w:sz w:val="20"/>
                <w:szCs w:val="20"/>
                <w:lang w:val="en-GB"/>
              </w:rPr>
            </w:pPr>
          </w:p>
        </w:tc>
        <w:tc>
          <w:tcPr>
            <w:tcW w:w="611" w:type="pct"/>
          </w:tcPr>
          <w:p w:rsidR="00363221" w:rsidRPr="00CF4C4E" w:rsidRDefault="00363221" w:rsidP="00CF4C4E">
            <w:pPr>
              <w:rPr>
                <w:sz w:val="20"/>
                <w:szCs w:val="20"/>
                <w:lang w:val="en-GB"/>
              </w:rPr>
            </w:pPr>
          </w:p>
        </w:tc>
        <w:tc>
          <w:tcPr>
            <w:tcW w:w="645" w:type="pct"/>
          </w:tcPr>
          <w:p w:rsidR="00363221" w:rsidRPr="00CF4C4E" w:rsidRDefault="00363221" w:rsidP="00CF4C4E">
            <w:pPr>
              <w:rPr>
                <w:sz w:val="20"/>
                <w:szCs w:val="20"/>
                <w:lang w:val="en-GB"/>
              </w:rPr>
            </w:pPr>
          </w:p>
        </w:tc>
        <w:tc>
          <w:tcPr>
            <w:tcW w:w="656" w:type="pct"/>
          </w:tcPr>
          <w:p w:rsidR="00363221" w:rsidRPr="00CF4C4E" w:rsidRDefault="00363221" w:rsidP="00CF4C4E">
            <w:pPr>
              <w:rPr>
                <w:sz w:val="20"/>
                <w:szCs w:val="20"/>
                <w:lang w:val="en-GB"/>
              </w:rPr>
            </w:pPr>
          </w:p>
        </w:tc>
      </w:tr>
      <w:tr w:rsidR="00363221" w:rsidRPr="00CF4C4E" w:rsidTr="00DB3306">
        <w:trPr>
          <w:trHeight w:val="543"/>
        </w:trPr>
        <w:tc>
          <w:tcPr>
            <w:tcW w:w="833" w:type="pct"/>
            <w:tcBorders>
              <w:left w:val="double" w:sz="4" w:space="0" w:color="auto"/>
            </w:tcBorders>
          </w:tcPr>
          <w:p w:rsidR="00363221" w:rsidRPr="00CF4C4E" w:rsidRDefault="00363221" w:rsidP="00CF4C4E">
            <w:pPr>
              <w:rPr>
                <w:sz w:val="20"/>
                <w:szCs w:val="20"/>
                <w:lang w:val="en-GB"/>
              </w:rPr>
            </w:pPr>
            <w:r w:rsidRPr="00CF4C4E">
              <w:rPr>
                <w:sz w:val="20"/>
                <w:szCs w:val="20"/>
                <w:lang w:val="en-GB"/>
              </w:rPr>
              <w:t xml:space="preserve">1.1.4. Ensure that all institutions prioritise their </w:t>
            </w:r>
            <w:r w:rsidRPr="00CF4C4E">
              <w:rPr>
                <w:sz w:val="20"/>
                <w:szCs w:val="20"/>
                <w:lang w:val="en-GB"/>
              </w:rPr>
              <w:lastRenderedPageBreak/>
              <w:t xml:space="preserve">work based on NRA findings  </w:t>
            </w:r>
          </w:p>
        </w:tc>
        <w:tc>
          <w:tcPr>
            <w:tcW w:w="398" w:type="pct"/>
          </w:tcPr>
          <w:p w:rsidR="00363221" w:rsidRPr="00CF4C4E" w:rsidRDefault="00363221" w:rsidP="00CF4C4E">
            <w:pPr>
              <w:rPr>
                <w:sz w:val="20"/>
                <w:szCs w:val="20"/>
                <w:lang w:val="en-GB"/>
              </w:rPr>
            </w:pPr>
            <w:r w:rsidRPr="00CF4C4E">
              <w:rPr>
                <w:sz w:val="20"/>
                <w:szCs w:val="20"/>
                <w:lang w:val="en-GB"/>
              </w:rPr>
              <w:lastRenderedPageBreak/>
              <w:t>AML/CFT CB</w:t>
            </w:r>
          </w:p>
        </w:tc>
        <w:tc>
          <w:tcPr>
            <w:tcW w:w="431" w:type="pct"/>
          </w:tcPr>
          <w:p w:rsidR="00363221" w:rsidRPr="00CF4C4E" w:rsidRDefault="00363221" w:rsidP="00CF4C4E">
            <w:pPr>
              <w:rPr>
                <w:sz w:val="20"/>
                <w:szCs w:val="20"/>
                <w:lang w:val="en-GB"/>
              </w:rPr>
            </w:pPr>
            <w:r w:rsidRPr="00CF4C4E">
              <w:rPr>
                <w:sz w:val="20"/>
                <w:szCs w:val="20"/>
                <w:lang w:val="en-GB"/>
              </w:rPr>
              <w:t xml:space="preserve">All AML/CFT </w:t>
            </w:r>
            <w:r w:rsidRPr="00CF4C4E">
              <w:rPr>
                <w:sz w:val="20"/>
                <w:szCs w:val="20"/>
                <w:lang w:val="en-GB"/>
              </w:rPr>
              <w:lastRenderedPageBreak/>
              <w:t>stakeholders, as required</w:t>
            </w:r>
          </w:p>
        </w:tc>
        <w:tc>
          <w:tcPr>
            <w:tcW w:w="404" w:type="pct"/>
          </w:tcPr>
          <w:p w:rsidR="00363221" w:rsidRPr="00CF4C4E" w:rsidRDefault="00363221" w:rsidP="00CF4C4E">
            <w:pPr>
              <w:rPr>
                <w:sz w:val="20"/>
                <w:szCs w:val="20"/>
                <w:lang w:val="en-GB"/>
              </w:rPr>
            </w:pPr>
            <w:r w:rsidRPr="00CF4C4E">
              <w:rPr>
                <w:sz w:val="20"/>
                <w:szCs w:val="20"/>
                <w:lang w:val="en-GB"/>
              </w:rPr>
              <w:lastRenderedPageBreak/>
              <w:t xml:space="preserve">II quarter of 2021 - </w:t>
            </w:r>
            <w:r w:rsidRPr="00CF4C4E">
              <w:rPr>
                <w:sz w:val="20"/>
                <w:szCs w:val="20"/>
                <w:lang w:val="en-GB"/>
              </w:rPr>
              <w:lastRenderedPageBreak/>
              <w:t xml:space="preserve">IV quarter 2022 </w:t>
            </w:r>
          </w:p>
        </w:tc>
        <w:tc>
          <w:tcPr>
            <w:tcW w:w="623" w:type="pct"/>
          </w:tcPr>
          <w:p w:rsidR="00363221" w:rsidRPr="00CF4C4E" w:rsidRDefault="00363221" w:rsidP="00CF4C4E">
            <w:pPr>
              <w:rPr>
                <w:sz w:val="20"/>
                <w:szCs w:val="20"/>
                <w:lang w:val="en-GB"/>
              </w:rPr>
            </w:pPr>
            <w:r w:rsidRPr="00CF4C4E">
              <w:rPr>
                <w:sz w:val="20"/>
                <w:szCs w:val="20"/>
                <w:lang w:val="en-GB"/>
              </w:rPr>
              <w:lastRenderedPageBreak/>
              <w:t xml:space="preserve">Financed as part of regular activities </w:t>
            </w:r>
            <w:r w:rsidRPr="00CF4C4E">
              <w:rPr>
                <w:sz w:val="20"/>
                <w:szCs w:val="20"/>
                <w:lang w:val="en-GB"/>
              </w:rPr>
              <w:lastRenderedPageBreak/>
              <w:t>of staff</w:t>
            </w:r>
          </w:p>
        </w:tc>
        <w:tc>
          <w:tcPr>
            <w:tcW w:w="400" w:type="pct"/>
          </w:tcPr>
          <w:p w:rsidR="00363221" w:rsidRPr="00CF4C4E" w:rsidRDefault="00363221" w:rsidP="00CF4C4E">
            <w:pPr>
              <w:rPr>
                <w:sz w:val="20"/>
                <w:szCs w:val="20"/>
                <w:lang w:val="en-GB"/>
              </w:rPr>
            </w:pPr>
          </w:p>
        </w:tc>
        <w:tc>
          <w:tcPr>
            <w:tcW w:w="611" w:type="pct"/>
          </w:tcPr>
          <w:p w:rsidR="00363221" w:rsidRPr="00CF4C4E" w:rsidRDefault="00363221" w:rsidP="00CF4C4E">
            <w:pPr>
              <w:rPr>
                <w:sz w:val="20"/>
                <w:szCs w:val="20"/>
                <w:lang w:val="en-GB"/>
              </w:rPr>
            </w:pPr>
          </w:p>
        </w:tc>
        <w:tc>
          <w:tcPr>
            <w:tcW w:w="645" w:type="pct"/>
          </w:tcPr>
          <w:p w:rsidR="00363221" w:rsidRPr="00CF4C4E" w:rsidRDefault="00363221" w:rsidP="00CF4C4E">
            <w:pPr>
              <w:rPr>
                <w:sz w:val="20"/>
                <w:szCs w:val="20"/>
                <w:lang w:val="en-GB"/>
              </w:rPr>
            </w:pPr>
          </w:p>
        </w:tc>
        <w:tc>
          <w:tcPr>
            <w:tcW w:w="656" w:type="pct"/>
          </w:tcPr>
          <w:p w:rsidR="00363221" w:rsidRPr="00CF4C4E" w:rsidRDefault="00363221" w:rsidP="00CF4C4E">
            <w:pPr>
              <w:rPr>
                <w:sz w:val="20"/>
                <w:szCs w:val="20"/>
                <w:lang w:val="en-GB"/>
              </w:rPr>
            </w:pPr>
          </w:p>
        </w:tc>
      </w:tr>
      <w:tr w:rsidR="00363221" w:rsidRPr="00CF4C4E" w:rsidTr="00DB3306">
        <w:trPr>
          <w:trHeight w:val="140"/>
        </w:trPr>
        <w:tc>
          <w:tcPr>
            <w:tcW w:w="833" w:type="pct"/>
            <w:tcBorders>
              <w:left w:val="double" w:sz="4" w:space="0" w:color="auto"/>
            </w:tcBorders>
          </w:tcPr>
          <w:p w:rsidR="00363221" w:rsidRPr="00CF4C4E" w:rsidRDefault="00363221" w:rsidP="00CF4C4E">
            <w:pPr>
              <w:rPr>
                <w:sz w:val="20"/>
                <w:szCs w:val="20"/>
                <w:lang w:val="en-GB"/>
              </w:rPr>
            </w:pPr>
            <w:r w:rsidRPr="00CF4C4E">
              <w:rPr>
                <w:sz w:val="20"/>
                <w:szCs w:val="20"/>
                <w:lang w:val="en-GB"/>
              </w:rPr>
              <w:lastRenderedPageBreak/>
              <w:t>1.1.5 Creation of a software application for statistical monitoring of ML and TF cases in line with the Guidelines establishing a consolidated methodology for reporting on and tracking of ML/TF cases, and its the launch of the application.</w:t>
            </w:r>
          </w:p>
        </w:tc>
        <w:tc>
          <w:tcPr>
            <w:tcW w:w="398" w:type="pct"/>
          </w:tcPr>
          <w:p w:rsidR="00363221" w:rsidRPr="00CF4C4E" w:rsidRDefault="00363221" w:rsidP="00CF4C4E">
            <w:pPr>
              <w:rPr>
                <w:sz w:val="20"/>
                <w:szCs w:val="20"/>
                <w:lang w:val="en-GB"/>
              </w:rPr>
            </w:pPr>
            <w:r w:rsidRPr="00CF4C4E">
              <w:rPr>
                <w:sz w:val="20"/>
                <w:szCs w:val="20"/>
                <w:lang w:val="en-GB"/>
              </w:rPr>
              <w:t>APML</w:t>
            </w:r>
          </w:p>
        </w:tc>
        <w:tc>
          <w:tcPr>
            <w:tcW w:w="431" w:type="pct"/>
          </w:tcPr>
          <w:p w:rsidR="00363221" w:rsidRPr="00CF4C4E" w:rsidRDefault="00363221" w:rsidP="00CF4C4E">
            <w:pPr>
              <w:rPr>
                <w:sz w:val="20"/>
                <w:szCs w:val="20"/>
                <w:lang w:val="en-GB"/>
              </w:rPr>
            </w:pPr>
            <w:r w:rsidRPr="00CF4C4E">
              <w:rPr>
                <w:sz w:val="20"/>
                <w:szCs w:val="20"/>
                <w:lang w:val="en-GB"/>
              </w:rPr>
              <w:t>SCC, RPPO, MoI, SIA, MoF-TA, MoF-CA, NBS, SC, MoJ-DMSCA</w:t>
            </w:r>
          </w:p>
        </w:tc>
        <w:tc>
          <w:tcPr>
            <w:tcW w:w="404" w:type="pct"/>
          </w:tcPr>
          <w:p w:rsidR="00363221" w:rsidRPr="00CF4C4E" w:rsidRDefault="00363221" w:rsidP="00CF4C4E">
            <w:pPr>
              <w:rPr>
                <w:sz w:val="20"/>
                <w:szCs w:val="20"/>
                <w:lang w:val="en-GB"/>
              </w:rPr>
            </w:pPr>
            <w:r w:rsidRPr="00CF4C4E">
              <w:rPr>
                <w:sz w:val="20"/>
                <w:szCs w:val="20"/>
                <w:lang w:val="en-GB"/>
              </w:rPr>
              <w:t>II quarter of 2020</w:t>
            </w:r>
          </w:p>
        </w:tc>
        <w:tc>
          <w:tcPr>
            <w:tcW w:w="623" w:type="pct"/>
          </w:tcPr>
          <w:p w:rsidR="00363221" w:rsidRPr="00CF4C4E" w:rsidRDefault="00363221" w:rsidP="00CF4C4E">
            <w:pPr>
              <w:rPr>
                <w:sz w:val="20"/>
                <w:szCs w:val="20"/>
                <w:lang w:val="en-GB"/>
              </w:rPr>
            </w:pPr>
            <w:r w:rsidRPr="00CF4C4E">
              <w:rPr>
                <w:sz w:val="20"/>
                <w:szCs w:val="20"/>
                <w:lang w:val="en-GB"/>
              </w:rPr>
              <w:t xml:space="preserve">International donor funds (e.g. EU support to the prevention of ML and TF in Serbia, IPA 2015, OSCE) </w:t>
            </w:r>
          </w:p>
        </w:tc>
        <w:tc>
          <w:tcPr>
            <w:tcW w:w="400" w:type="pct"/>
          </w:tcPr>
          <w:p w:rsidR="00363221" w:rsidRPr="00CF4C4E" w:rsidRDefault="00363221" w:rsidP="00CF4C4E">
            <w:pPr>
              <w:rPr>
                <w:sz w:val="20"/>
                <w:szCs w:val="20"/>
                <w:lang w:val="en-GB"/>
              </w:rPr>
            </w:pPr>
          </w:p>
        </w:tc>
        <w:tc>
          <w:tcPr>
            <w:tcW w:w="611" w:type="pct"/>
          </w:tcPr>
          <w:p w:rsidR="00363221" w:rsidRPr="00CF4C4E" w:rsidRDefault="00363221" w:rsidP="00CF4C4E">
            <w:pPr>
              <w:rPr>
                <w:sz w:val="20"/>
                <w:szCs w:val="20"/>
                <w:lang w:val="en-GB"/>
              </w:rPr>
            </w:pPr>
          </w:p>
        </w:tc>
        <w:tc>
          <w:tcPr>
            <w:tcW w:w="645" w:type="pct"/>
          </w:tcPr>
          <w:p w:rsidR="00363221" w:rsidRPr="00CF4C4E" w:rsidRDefault="00363221" w:rsidP="00CF4C4E">
            <w:pPr>
              <w:rPr>
                <w:sz w:val="20"/>
                <w:szCs w:val="20"/>
                <w:lang w:val="en-GB"/>
              </w:rPr>
            </w:pPr>
          </w:p>
        </w:tc>
        <w:tc>
          <w:tcPr>
            <w:tcW w:w="656" w:type="pct"/>
          </w:tcPr>
          <w:p w:rsidR="00363221" w:rsidRPr="00CF4C4E" w:rsidRDefault="00363221" w:rsidP="00CF4C4E">
            <w:pPr>
              <w:rPr>
                <w:sz w:val="20"/>
                <w:szCs w:val="20"/>
                <w:lang w:val="en-GB"/>
              </w:rPr>
            </w:pPr>
          </w:p>
        </w:tc>
      </w:tr>
      <w:tr w:rsidR="00363221" w:rsidRPr="00CF4C4E" w:rsidTr="00DB3306">
        <w:trPr>
          <w:trHeight w:val="140"/>
        </w:trPr>
        <w:tc>
          <w:tcPr>
            <w:tcW w:w="833" w:type="pct"/>
            <w:tcBorders>
              <w:left w:val="double" w:sz="4" w:space="0" w:color="auto"/>
            </w:tcBorders>
          </w:tcPr>
          <w:p w:rsidR="00363221" w:rsidRPr="00CF4C4E" w:rsidRDefault="00C36273" w:rsidP="00CF4C4E">
            <w:pPr>
              <w:rPr>
                <w:sz w:val="20"/>
                <w:szCs w:val="20"/>
                <w:lang w:val="en-GB"/>
              </w:rPr>
            </w:pPr>
            <w:r w:rsidRPr="00CF4C4E">
              <w:rPr>
                <w:sz w:val="20"/>
                <w:szCs w:val="20"/>
                <w:lang w:val="en-GB"/>
              </w:rPr>
              <w:t>1.1.6 Ensure that all relevant stakeholders use the software application for statistical monitoring of ML and TF cases envisaged in activity 1.1.4.</w:t>
            </w:r>
          </w:p>
        </w:tc>
        <w:tc>
          <w:tcPr>
            <w:tcW w:w="398" w:type="pct"/>
          </w:tcPr>
          <w:p w:rsidR="00363221" w:rsidRPr="00CF4C4E" w:rsidRDefault="00363221" w:rsidP="00CF4C4E">
            <w:pPr>
              <w:rPr>
                <w:sz w:val="20"/>
                <w:szCs w:val="20"/>
                <w:lang w:val="en-GB"/>
              </w:rPr>
            </w:pPr>
            <w:r w:rsidRPr="00CF4C4E">
              <w:rPr>
                <w:sz w:val="20"/>
                <w:szCs w:val="20"/>
                <w:lang w:val="en-GB"/>
              </w:rPr>
              <w:t>AML/CFT CB</w:t>
            </w:r>
          </w:p>
        </w:tc>
        <w:tc>
          <w:tcPr>
            <w:tcW w:w="431" w:type="pct"/>
          </w:tcPr>
          <w:p w:rsidR="00363221" w:rsidRPr="00CF4C4E" w:rsidRDefault="00363221" w:rsidP="00CF4C4E">
            <w:pPr>
              <w:rPr>
                <w:sz w:val="20"/>
                <w:szCs w:val="20"/>
                <w:lang w:val="en-GB"/>
              </w:rPr>
            </w:pPr>
            <w:r w:rsidRPr="00CF4C4E">
              <w:rPr>
                <w:sz w:val="20"/>
                <w:szCs w:val="20"/>
                <w:lang w:val="en-GB"/>
              </w:rPr>
              <w:t>RPPO, APML, MoI, etc.</w:t>
            </w:r>
          </w:p>
        </w:tc>
        <w:tc>
          <w:tcPr>
            <w:tcW w:w="404" w:type="pct"/>
          </w:tcPr>
          <w:p w:rsidR="00363221" w:rsidRPr="00CF4C4E" w:rsidRDefault="00363221" w:rsidP="00CF4C4E">
            <w:pPr>
              <w:rPr>
                <w:sz w:val="20"/>
                <w:szCs w:val="20"/>
                <w:lang w:val="en-GB"/>
              </w:rPr>
            </w:pPr>
            <w:r w:rsidRPr="00CF4C4E">
              <w:rPr>
                <w:sz w:val="20"/>
                <w:szCs w:val="20"/>
                <w:lang w:val="en-GB"/>
              </w:rPr>
              <w:t>IV quarter of 2020</w:t>
            </w:r>
          </w:p>
        </w:tc>
        <w:tc>
          <w:tcPr>
            <w:tcW w:w="623" w:type="pct"/>
          </w:tcPr>
          <w:p w:rsidR="00363221" w:rsidRPr="00CF4C4E" w:rsidRDefault="00363221" w:rsidP="00CF4C4E">
            <w:pPr>
              <w:rPr>
                <w:sz w:val="20"/>
                <w:szCs w:val="20"/>
                <w:lang w:val="en-GB"/>
              </w:rPr>
            </w:pPr>
            <w:r w:rsidRPr="00CF4C4E">
              <w:rPr>
                <w:sz w:val="20"/>
                <w:szCs w:val="20"/>
                <w:lang w:val="en-GB"/>
              </w:rPr>
              <w:t>Financed as part of regular activities of staff</w:t>
            </w:r>
          </w:p>
          <w:p w:rsidR="00363221" w:rsidRPr="00CF4C4E" w:rsidRDefault="00363221" w:rsidP="00CF4C4E">
            <w:pPr>
              <w:rPr>
                <w:sz w:val="20"/>
                <w:szCs w:val="20"/>
                <w:lang w:val="en-GB"/>
              </w:rPr>
            </w:pPr>
          </w:p>
        </w:tc>
        <w:tc>
          <w:tcPr>
            <w:tcW w:w="400" w:type="pct"/>
          </w:tcPr>
          <w:p w:rsidR="00363221" w:rsidRPr="00CF4C4E" w:rsidRDefault="00363221" w:rsidP="00CF4C4E">
            <w:pPr>
              <w:rPr>
                <w:sz w:val="20"/>
                <w:szCs w:val="20"/>
                <w:lang w:val="en-GB"/>
              </w:rPr>
            </w:pPr>
          </w:p>
        </w:tc>
        <w:tc>
          <w:tcPr>
            <w:tcW w:w="611" w:type="pct"/>
          </w:tcPr>
          <w:p w:rsidR="00363221" w:rsidRPr="00CF4C4E" w:rsidRDefault="00363221" w:rsidP="00CF4C4E">
            <w:pPr>
              <w:rPr>
                <w:sz w:val="20"/>
                <w:szCs w:val="20"/>
                <w:lang w:val="en-GB"/>
              </w:rPr>
            </w:pPr>
          </w:p>
        </w:tc>
        <w:tc>
          <w:tcPr>
            <w:tcW w:w="645" w:type="pct"/>
          </w:tcPr>
          <w:p w:rsidR="00363221" w:rsidRPr="00CF4C4E" w:rsidRDefault="00363221" w:rsidP="00CF4C4E">
            <w:pPr>
              <w:rPr>
                <w:sz w:val="20"/>
                <w:szCs w:val="20"/>
                <w:lang w:val="en-GB"/>
              </w:rPr>
            </w:pPr>
          </w:p>
        </w:tc>
        <w:tc>
          <w:tcPr>
            <w:tcW w:w="656" w:type="pct"/>
          </w:tcPr>
          <w:p w:rsidR="00363221" w:rsidRPr="00CF4C4E" w:rsidRDefault="00363221" w:rsidP="00CF4C4E">
            <w:pPr>
              <w:rPr>
                <w:sz w:val="20"/>
                <w:szCs w:val="20"/>
                <w:lang w:val="en-GB"/>
              </w:rPr>
            </w:pPr>
          </w:p>
        </w:tc>
      </w:tr>
    </w:tbl>
    <w:p w:rsidR="00C1496A" w:rsidRPr="00CF4C4E" w:rsidRDefault="00C1496A" w:rsidP="00CF4C4E">
      <w:pPr>
        <w:rPr>
          <w:b/>
          <w:sz w:val="20"/>
          <w:szCs w:val="20"/>
          <w:lang w:val="en-GB"/>
        </w:rPr>
      </w:pPr>
    </w:p>
    <w:tbl>
      <w:tblPr>
        <w:tblStyle w:val="TableGrid"/>
        <w:tblW w:w="14132" w:type="dxa"/>
        <w:tblInd w:w="10" w:type="dxa"/>
        <w:tblLayout w:type="fixed"/>
        <w:tblLook w:val="04A0"/>
      </w:tblPr>
      <w:tblGrid>
        <w:gridCol w:w="3149"/>
        <w:gridCol w:w="1060"/>
        <w:gridCol w:w="3402"/>
        <w:gridCol w:w="992"/>
        <w:gridCol w:w="1134"/>
        <w:gridCol w:w="1418"/>
        <w:gridCol w:w="1559"/>
        <w:gridCol w:w="1418"/>
      </w:tblGrid>
      <w:tr w:rsidR="00F43ECD" w:rsidRPr="00CF4C4E" w:rsidTr="004316AD">
        <w:trPr>
          <w:trHeight w:val="169"/>
        </w:trPr>
        <w:tc>
          <w:tcPr>
            <w:tcW w:w="14132" w:type="dxa"/>
            <w:gridSpan w:val="8"/>
            <w:tcBorders>
              <w:top w:val="double" w:sz="4" w:space="0" w:color="auto"/>
              <w:left w:val="double" w:sz="4" w:space="0" w:color="auto"/>
              <w:right w:val="double" w:sz="4" w:space="0" w:color="auto"/>
            </w:tcBorders>
            <w:shd w:val="clear" w:color="auto" w:fill="E5B8B7" w:themeFill="accent2" w:themeFillTint="66"/>
          </w:tcPr>
          <w:p w:rsidR="00F43ECD" w:rsidRPr="00CF4C4E" w:rsidRDefault="00F43ECD" w:rsidP="00CF4C4E">
            <w:pPr>
              <w:pStyle w:val="Heading3"/>
              <w:spacing w:before="0"/>
              <w:rPr>
                <w:rFonts w:cs="Times New Roman"/>
                <w:szCs w:val="20"/>
                <w:lang w:val="en-GB"/>
              </w:rPr>
            </w:pPr>
            <w:bookmarkStart w:id="3" w:name="_Toc32409907"/>
            <w:r w:rsidRPr="00CF4C4E">
              <w:rPr>
                <w:rFonts w:cs="Times New Roman"/>
                <w:szCs w:val="20"/>
                <w:lang w:val="en-GB"/>
              </w:rPr>
              <w:t>Measure 1.2:</w:t>
            </w:r>
            <w:r w:rsidRPr="00CF4C4E">
              <w:rPr>
                <w:rFonts w:cs="Times New Roman"/>
                <w:b w:val="0"/>
                <w:bCs w:val="0"/>
                <w:szCs w:val="20"/>
                <w:lang w:val="en-GB"/>
              </w:rPr>
              <w:t xml:space="preserve"> </w:t>
            </w:r>
            <w:r w:rsidRPr="00CF4C4E">
              <w:rPr>
                <w:rFonts w:cs="Times New Roman"/>
                <w:szCs w:val="20"/>
                <w:lang w:val="en-GB"/>
              </w:rPr>
              <w:t>Mitigation of the risks found and continuous identification of new threats and vulnerabilities</w:t>
            </w:r>
            <w:bookmarkEnd w:id="3"/>
          </w:p>
        </w:tc>
      </w:tr>
      <w:tr w:rsidR="00F43ECD" w:rsidRPr="00CF4C4E" w:rsidTr="004316AD">
        <w:trPr>
          <w:trHeight w:val="300"/>
        </w:trPr>
        <w:tc>
          <w:tcPr>
            <w:tcW w:w="14132" w:type="dxa"/>
            <w:gridSpan w:val="8"/>
            <w:tcBorders>
              <w:top w:val="double" w:sz="4" w:space="0" w:color="auto"/>
              <w:left w:val="double" w:sz="4" w:space="0" w:color="auto"/>
              <w:bottom w:val="double" w:sz="4" w:space="0" w:color="auto"/>
              <w:right w:val="double" w:sz="4" w:space="0" w:color="auto"/>
            </w:tcBorders>
            <w:shd w:val="clear" w:color="auto" w:fill="E5B8B7" w:themeFill="accent2" w:themeFillTint="66"/>
            <w:vAlign w:val="center"/>
          </w:tcPr>
          <w:p w:rsidR="00F43ECD" w:rsidRPr="00CF4C4E" w:rsidRDefault="00F43ECD" w:rsidP="00CF4C4E">
            <w:pPr>
              <w:rPr>
                <w:sz w:val="20"/>
                <w:szCs w:val="20"/>
                <w:lang w:val="en-GB"/>
              </w:rPr>
            </w:pPr>
            <w:r w:rsidRPr="00CF4C4E">
              <w:rPr>
                <w:rFonts w:eastAsia="Times New Roman"/>
                <w:color w:val="222222"/>
                <w:sz w:val="20"/>
                <w:szCs w:val="20"/>
                <w:lang w:val="en-GB"/>
              </w:rPr>
              <w:t>Institution responsible for monitoring and control of implementation: Coordination Body for the Prevention of Money Laundering and the Financing of Terrorism (AML/CFT CB)</w:t>
            </w:r>
          </w:p>
        </w:tc>
      </w:tr>
      <w:tr w:rsidR="00F43ECD" w:rsidRPr="00CF4C4E" w:rsidTr="004316AD">
        <w:trPr>
          <w:trHeight w:val="300"/>
        </w:trPr>
        <w:tc>
          <w:tcPr>
            <w:tcW w:w="7611" w:type="dxa"/>
            <w:gridSpan w:val="3"/>
            <w:tcBorders>
              <w:top w:val="double" w:sz="4" w:space="0" w:color="auto"/>
              <w:left w:val="double" w:sz="4" w:space="0" w:color="auto"/>
              <w:bottom w:val="double" w:sz="4" w:space="0" w:color="auto"/>
              <w:right w:val="double" w:sz="4" w:space="0" w:color="auto"/>
            </w:tcBorders>
            <w:shd w:val="clear" w:color="auto" w:fill="E5B8B7" w:themeFill="accent2" w:themeFillTint="66"/>
          </w:tcPr>
          <w:p w:rsidR="00F43ECD" w:rsidRPr="00CF4C4E" w:rsidRDefault="00F43ECD" w:rsidP="00CF4C4E">
            <w:pPr>
              <w:rPr>
                <w:sz w:val="20"/>
                <w:szCs w:val="20"/>
                <w:lang w:val="en-GB"/>
              </w:rPr>
            </w:pPr>
            <w:r w:rsidRPr="00CF4C4E">
              <w:rPr>
                <w:sz w:val="20"/>
                <w:szCs w:val="20"/>
                <w:lang w:val="en-GB"/>
              </w:rPr>
              <w:t>Implementation period: 2020-2022</w:t>
            </w:r>
          </w:p>
        </w:tc>
        <w:tc>
          <w:tcPr>
            <w:tcW w:w="6521" w:type="dxa"/>
            <w:gridSpan w:val="5"/>
            <w:tcBorders>
              <w:top w:val="double" w:sz="4" w:space="0" w:color="auto"/>
              <w:left w:val="double" w:sz="4" w:space="0" w:color="auto"/>
              <w:bottom w:val="double" w:sz="4" w:space="0" w:color="auto"/>
              <w:right w:val="double" w:sz="4" w:space="0" w:color="auto"/>
            </w:tcBorders>
            <w:shd w:val="clear" w:color="auto" w:fill="E5B8B7" w:themeFill="accent2" w:themeFillTint="66"/>
          </w:tcPr>
          <w:p w:rsidR="00F43ECD" w:rsidRPr="00CF4C4E" w:rsidRDefault="00F43ECD" w:rsidP="00CF4C4E">
            <w:pPr>
              <w:rPr>
                <w:sz w:val="20"/>
                <w:szCs w:val="20"/>
                <w:lang w:val="en-GB"/>
              </w:rPr>
            </w:pPr>
            <w:r w:rsidRPr="00CF4C4E">
              <w:rPr>
                <w:sz w:val="20"/>
                <w:szCs w:val="20"/>
                <w:lang w:val="en-GB"/>
              </w:rPr>
              <w:t>Type of measure: Institutional-governance-organisational</w:t>
            </w:r>
          </w:p>
        </w:tc>
      </w:tr>
      <w:tr w:rsidR="004316AD" w:rsidRPr="00CF4C4E" w:rsidTr="00985089">
        <w:trPr>
          <w:trHeight w:val="609"/>
        </w:trPr>
        <w:tc>
          <w:tcPr>
            <w:tcW w:w="3149"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Indicator(s) at the level of measure (result indicator):</w:t>
            </w:r>
          </w:p>
        </w:tc>
        <w:tc>
          <w:tcPr>
            <w:tcW w:w="1060"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Unit of measurement</w:t>
            </w:r>
          </w:p>
          <w:p w:rsidR="004316AD" w:rsidRPr="00CF4C4E" w:rsidRDefault="004316AD" w:rsidP="00CF4C4E">
            <w:pPr>
              <w:rPr>
                <w:sz w:val="20"/>
                <w:szCs w:val="20"/>
                <w:lang w:val="en-GB"/>
              </w:rPr>
            </w:pPr>
          </w:p>
        </w:tc>
        <w:tc>
          <w:tcPr>
            <w:tcW w:w="3402"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Source of verification</w:t>
            </w:r>
          </w:p>
        </w:tc>
        <w:tc>
          <w:tcPr>
            <w:tcW w:w="992"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 xml:space="preserve">Base value </w:t>
            </w:r>
          </w:p>
        </w:tc>
        <w:tc>
          <w:tcPr>
            <w:tcW w:w="1134"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Base year</w:t>
            </w:r>
          </w:p>
        </w:tc>
        <w:tc>
          <w:tcPr>
            <w:tcW w:w="1418"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Target value in 2020</w:t>
            </w:r>
          </w:p>
        </w:tc>
        <w:tc>
          <w:tcPr>
            <w:tcW w:w="1559" w:type="dxa"/>
            <w:tcBorders>
              <w:top w:val="double" w:sz="4" w:space="0" w:color="auto"/>
              <w:right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Target value in 2021</w:t>
            </w:r>
          </w:p>
        </w:tc>
        <w:tc>
          <w:tcPr>
            <w:tcW w:w="1418" w:type="dxa"/>
            <w:tcBorders>
              <w:top w:val="double" w:sz="4" w:space="0" w:color="auto"/>
              <w:right w:val="double" w:sz="4" w:space="0" w:color="auto"/>
            </w:tcBorders>
            <w:shd w:val="clear" w:color="auto" w:fill="D9D9D9" w:themeFill="background1" w:themeFillShade="D9"/>
          </w:tcPr>
          <w:p w:rsidR="004316AD" w:rsidRPr="00CF4C4E" w:rsidRDefault="00885F9C" w:rsidP="00CF4C4E">
            <w:pPr>
              <w:rPr>
                <w:sz w:val="20"/>
                <w:szCs w:val="20"/>
                <w:lang w:val="en-GB"/>
              </w:rPr>
            </w:pPr>
            <w:r w:rsidRPr="00CF4C4E">
              <w:rPr>
                <w:sz w:val="20"/>
                <w:szCs w:val="20"/>
                <w:lang w:val="en-GB"/>
              </w:rPr>
              <w:t>Target value in 2022</w:t>
            </w:r>
          </w:p>
          <w:p w:rsidR="00597E67" w:rsidRPr="00CF4C4E" w:rsidRDefault="00597E67" w:rsidP="00CF4C4E">
            <w:pPr>
              <w:rPr>
                <w:sz w:val="20"/>
                <w:szCs w:val="20"/>
                <w:lang w:val="en-GB"/>
              </w:rPr>
            </w:pPr>
          </w:p>
        </w:tc>
      </w:tr>
      <w:tr w:rsidR="00F43ECD" w:rsidRPr="00CF4C4E" w:rsidTr="00985089">
        <w:trPr>
          <w:trHeight w:val="304"/>
        </w:trPr>
        <w:tc>
          <w:tcPr>
            <w:tcW w:w="3149" w:type="dxa"/>
            <w:tcBorders>
              <w:top w:val="double" w:sz="4" w:space="0" w:color="auto"/>
              <w:bottom w:val="double" w:sz="4" w:space="0" w:color="auto"/>
            </w:tcBorders>
            <w:shd w:val="clear" w:color="auto" w:fill="FFFFFF" w:themeFill="background1"/>
          </w:tcPr>
          <w:p w:rsidR="00F43ECD" w:rsidRPr="00CF4C4E" w:rsidRDefault="00BD0F86" w:rsidP="00CF4C4E">
            <w:pPr>
              <w:shd w:val="clear" w:color="auto" w:fill="FFFFFF" w:themeFill="background1"/>
              <w:rPr>
                <w:sz w:val="20"/>
                <w:szCs w:val="20"/>
                <w:lang w:val="en-GB"/>
              </w:rPr>
            </w:pPr>
            <w:r w:rsidRPr="00CF4C4E">
              <w:rPr>
                <w:sz w:val="20"/>
                <w:szCs w:val="20"/>
                <w:lang w:val="en-GB"/>
              </w:rPr>
              <w:t xml:space="preserve">Continuity sustained in reviewing threats and vulnerabilities, i.e. ongoing assessment of risk </w:t>
            </w:r>
          </w:p>
        </w:tc>
        <w:tc>
          <w:tcPr>
            <w:tcW w:w="1060" w:type="dxa"/>
            <w:tcBorders>
              <w:top w:val="double" w:sz="4" w:space="0" w:color="auto"/>
              <w:bottom w:val="double" w:sz="4" w:space="0" w:color="auto"/>
            </w:tcBorders>
            <w:shd w:val="clear" w:color="auto" w:fill="FFFFFF" w:themeFill="background1"/>
          </w:tcPr>
          <w:p w:rsidR="00F43ECD" w:rsidRPr="00CF4C4E" w:rsidRDefault="004B7C54" w:rsidP="00CF4C4E">
            <w:pPr>
              <w:shd w:val="clear" w:color="auto" w:fill="FFFFFF" w:themeFill="background1"/>
              <w:rPr>
                <w:sz w:val="20"/>
                <w:szCs w:val="20"/>
                <w:lang w:val="en-GB"/>
              </w:rPr>
            </w:pPr>
            <w:r w:rsidRPr="00CF4C4E">
              <w:rPr>
                <w:sz w:val="20"/>
                <w:szCs w:val="20"/>
                <w:lang w:val="en-GB"/>
              </w:rPr>
              <w:t>Yes/No</w:t>
            </w:r>
          </w:p>
        </w:tc>
        <w:tc>
          <w:tcPr>
            <w:tcW w:w="3402" w:type="dxa"/>
            <w:tcBorders>
              <w:top w:val="double" w:sz="4" w:space="0" w:color="auto"/>
              <w:bottom w:val="double" w:sz="4" w:space="0" w:color="auto"/>
            </w:tcBorders>
            <w:shd w:val="clear" w:color="auto" w:fill="FFFFFF" w:themeFill="background1"/>
          </w:tcPr>
          <w:p w:rsidR="00F43ECD" w:rsidRPr="00CF4C4E" w:rsidRDefault="004B7C54" w:rsidP="00CF4C4E">
            <w:pPr>
              <w:shd w:val="clear" w:color="auto" w:fill="FFFFFF" w:themeFill="background1"/>
              <w:rPr>
                <w:sz w:val="20"/>
                <w:szCs w:val="20"/>
                <w:lang w:val="en-GB"/>
              </w:rPr>
            </w:pPr>
            <w:r w:rsidRPr="00CF4C4E">
              <w:rPr>
                <w:sz w:val="20"/>
                <w:szCs w:val="20"/>
                <w:lang w:val="en-GB"/>
              </w:rPr>
              <w:t>Report of the AML/CFT CB reviewing the number of analyses (e.g. threats, vulnerabilities); NRA Document</w:t>
            </w:r>
          </w:p>
        </w:tc>
        <w:tc>
          <w:tcPr>
            <w:tcW w:w="992" w:type="dxa"/>
            <w:tcBorders>
              <w:top w:val="double" w:sz="4" w:space="0" w:color="auto"/>
              <w:bottom w:val="double" w:sz="4" w:space="0" w:color="auto"/>
            </w:tcBorders>
            <w:shd w:val="clear" w:color="auto" w:fill="FFFFFF" w:themeFill="background1"/>
          </w:tcPr>
          <w:p w:rsidR="00F43ECD" w:rsidRPr="00CF4C4E" w:rsidRDefault="004B7C54" w:rsidP="00CF4C4E">
            <w:pPr>
              <w:shd w:val="clear" w:color="auto" w:fill="FFFFFF" w:themeFill="background1"/>
              <w:rPr>
                <w:sz w:val="20"/>
                <w:szCs w:val="20"/>
                <w:lang w:val="en-GB"/>
              </w:rPr>
            </w:pPr>
            <w:r w:rsidRPr="00CF4C4E">
              <w:rPr>
                <w:sz w:val="20"/>
                <w:szCs w:val="20"/>
                <w:lang w:val="en-GB"/>
              </w:rPr>
              <w:t>Yes.</w:t>
            </w:r>
          </w:p>
        </w:tc>
        <w:tc>
          <w:tcPr>
            <w:tcW w:w="1134" w:type="dxa"/>
            <w:tcBorders>
              <w:top w:val="double" w:sz="4" w:space="0" w:color="auto"/>
              <w:bottom w:val="double" w:sz="4" w:space="0" w:color="auto"/>
            </w:tcBorders>
            <w:shd w:val="clear" w:color="auto" w:fill="FFFFFF" w:themeFill="background1"/>
          </w:tcPr>
          <w:p w:rsidR="00F43ECD" w:rsidRPr="00CF4C4E" w:rsidRDefault="004B7C54" w:rsidP="00CF4C4E">
            <w:pPr>
              <w:shd w:val="clear" w:color="auto" w:fill="FFFFFF" w:themeFill="background1"/>
              <w:rPr>
                <w:sz w:val="20"/>
                <w:szCs w:val="20"/>
                <w:lang w:val="en-GB"/>
              </w:rPr>
            </w:pPr>
            <w:r w:rsidRPr="00CF4C4E">
              <w:rPr>
                <w:sz w:val="20"/>
                <w:szCs w:val="20"/>
                <w:lang w:val="en-GB"/>
              </w:rPr>
              <w:t>2019</w:t>
            </w:r>
          </w:p>
        </w:tc>
        <w:tc>
          <w:tcPr>
            <w:tcW w:w="1418" w:type="dxa"/>
            <w:tcBorders>
              <w:top w:val="double" w:sz="4" w:space="0" w:color="auto"/>
              <w:bottom w:val="double" w:sz="4" w:space="0" w:color="auto"/>
            </w:tcBorders>
            <w:shd w:val="clear" w:color="auto" w:fill="FFFFFF" w:themeFill="background1"/>
          </w:tcPr>
          <w:p w:rsidR="00F43ECD" w:rsidRPr="00CF4C4E" w:rsidRDefault="004B7C54" w:rsidP="00CF4C4E">
            <w:pPr>
              <w:shd w:val="clear" w:color="auto" w:fill="FFFFFF" w:themeFill="background1"/>
              <w:rPr>
                <w:sz w:val="20"/>
                <w:szCs w:val="20"/>
                <w:lang w:val="en-GB"/>
              </w:rPr>
            </w:pPr>
            <w:r w:rsidRPr="00CF4C4E">
              <w:rPr>
                <w:sz w:val="20"/>
                <w:szCs w:val="20"/>
                <w:lang w:val="en-GB"/>
              </w:rPr>
              <w:t xml:space="preserve">Yes. </w:t>
            </w:r>
          </w:p>
        </w:tc>
        <w:tc>
          <w:tcPr>
            <w:tcW w:w="1559" w:type="dxa"/>
            <w:tcBorders>
              <w:top w:val="double" w:sz="4" w:space="0" w:color="auto"/>
              <w:bottom w:val="double" w:sz="4" w:space="0" w:color="auto"/>
              <w:right w:val="double" w:sz="4" w:space="0" w:color="auto"/>
            </w:tcBorders>
            <w:shd w:val="clear" w:color="auto" w:fill="FFFFFF" w:themeFill="background1"/>
          </w:tcPr>
          <w:p w:rsidR="00F43ECD" w:rsidRPr="00CF4C4E" w:rsidRDefault="004B7C54" w:rsidP="00CF4C4E">
            <w:pPr>
              <w:shd w:val="clear" w:color="auto" w:fill="FFFFFF" w:themeFill="background1"/>
              <w:rPr>
                <w:sz w:val="20"/>
                <w:szCs w:val="20"/>
                <w:lang w:val="en-GB"/>
              </w:rPr>
            </w:pPr>
            <w:r w:rsidRPr="00CF4C4E">
              <w:rPr>
                <w:sz w:val="20"/>
                <w:szCs w:val="20"/>
                <w:lang w:val="en-GB"/>
              </w:rPr>
              <w:t>Yes.</w:t>
            </w:r>
          </w:p>
        </w:tc>
        <w:tc>
          <w:tcPr>
            <w:tcW w:w="1418" w:type="dxa"/>
            <w:tcBorders>
              <w:top w:val="double" w:sz="4" w:space="0" w:color="auto"/>
              <w:bottom w:val="double" w:sz="4" w:space="0" w:color="auto"/>
              <w:right w:val="double" w:sz="4" w:space="0" w:color="auto"/>
            </w:tcBorders>
            <w:shd w:val="clear" w:color="auto" w:fill="FFFFFF" w:themeFill="background1"/>
          </w:tcPr>
          <w:p w:rsidR="00F43ECD" w:rsidRPr="00CF4C4E" w:rsidRDefault="00B267CF" w:rsidP="00CF4C4E">
            <w:pPr>
              <w:shd w:val="clear" w:color="auto" w:fill="FFFFFF" w:themeFill="background1"/>
              <w:rPr>
                <w:sz w:val="20"/>
                <w:szCs w:val="20"/>
                <w:lang w:val="en-GB"/>
              </w:rPr>
            </w:pPr>
            <w:r w:rsidRPr="00CF4C4E">
              <w:rPr>
                <w:sz w:val="20"/>
                <w:szCs w:val="20"/>
                <w:lang w:val="en-GB"/>
              </w:rPr>
              <w:t>Yes.</w:t>
            </w:r>
          </w:p>
        </w:tc>
      </w:tr>
    </w:tbl>
    <w:p w:rsidR="00536DA8" w:rsidRPr="00CF4C4E" w:rsidRDefault="00536DA8" w:rsidP="00CF4C4E">
      <w:pPr>
        <w:rPr>
          <w:b/>
          <w:sz w:val="20"/>
          <w:szCs w:val="20"/>
          <w:lang w:val="en-GB"/>
        </w:rPr>
      </w:pPr>
    </w:p>
    <w:tbl>
      <w:tblPr>
        <w:tblStyle w:val="TableGrid"/>
        <w:tblW w:w="4997" w:type="pct"/>
        <w:tblInd w:w="-20" w:type="dxa"/>
        <w:tblLayout w:type="fixed"/>
        <w:tblLook w:val="04A0"/>
      </w:tblPr>
      <w:tblGrid>
        <w:gridCol w:w="2366"/>
        <w:gridCol w:w="1130"/>
        <w:gridCol w:w="1221"/>
        <w:gridCol w:w="1145"/>
        <w:gridCol w:w="1553"/>
        <w:gridCol w:w="1417"/>
        <w:gridCol w:w="1677"/>
        <w:gridCol w:w="1980"/>
        <w:gridCol w:w="1677"/>
      </w:tblGrid>
      <w:tr w:rsidR="00B267CF" w:rsidRPr="00CF4C4E" w:rsidTr="002D69E2">
        <w:trPr>
          <w:trHeight w:val="140"/>
          <w:tblHeader/>
        </w:trPr>
        <w:tc>
          <w:tcPr>
            <w:tcW w:w="835" w:type="pct"/>
            <w:vMerge w:val="restart"/>
            <w:tcBorders>
              <w:top w:val="double" w:sz="4" w:space="0" w:color="auto"/>
              <w:left w:val="double" w:sz="4" w:space="0" w:color="auto"/>
            </w:tcBorders>
            <w:shd w:val="clear" w:color="auto" w:fill="E5DFEC" w:themeFill="accent4" w:themeFillTint="33"/>
          </w:tcPr>
          <w:p w:rsidR="00B267CF" w:rsidRPr="00CF4C4E" w:rsidRDefault="00B267CF" w:rsidP="00CF4C4E">
            <w:pPr>
              <w:rPr>
                <w:b/>
                <w:sz w:val="20"/>
                <w:szCs w:val="20"/>
                <w:lang w:val="en-GB"/>
              </w:rPr>
            </w:pPr>
            <w:r w:rsidRPr="00CF4C4E">
              <w:rPr>
                <w:b/>
                <w:bCs/>
                <w:sz w:val="20"/>
                <w:szCs w:val="20"/>
                <w:lang w:val="en-GB"/>
              </w:rPr>
              <w:t>Activity title:</w:t>
            </w:r>
          </w:p>
        </w:tc>
        <w:tc>
          <w:tcPr>
            <w:tcW w:w="399" w:type="pct"/>
            <w:vMerge w:val="restart"/>
            <w:tcBorders>
              <w:top w:val="double" w:sz="4" w:space="0" w:color="auto"/>
            </w:tcBorders>
            <w:shd w:val="clear" w:color="auto" w:fill="E5DFEC" w:themeFill="accent4" w:themeFillTint="33"/>
          </w:tcPr>
          <w:p w:rsidR="00B267CF" w:rsidRPr="00CF4C4E" w:rsidRDefault="00B267CF" w:rsidP="00CF4C4E">
            <w:pPr>
              <w:rPr>
                <w:b/>
                <w:sz w:val="20"/>
                <w:szCs w:val="20"/>
                <w:lang w:val="en-GB"/>
              </w:rPr>
            </w:pPr>
            <w:r w:rsidRPr="00CF4C4E">
              <w:rPr>
                <w:b/>
                <w:bCs/>
                <w:sz w:val="20"/>
                <w:szCs w:val="20"/>
                <w:lang w:val="en-GB"/>
              </w:rPr>
              <w:t>Authority implementing the activity</w:t>
            </w:r>
          </w:p>
        </w:tc>
        <w:tc>
          <w:tcPr>
            <w:tcW w:w="431" w:type="pct"/>
            <w:vMerge w:val="restart"/>
            <w:tcBorders>
              <w:top w:val="double" w:sz="4" w:space="0" w:color="auto"/>
            </w:tcBorders>
            <w:shd w:val="clear" w:color="auto" w:fill="E5DFEC" w:themeFill="accent4" w:themeFillTint="33"/>
          </w:tcPr>
          <w:p w:rsidR="00B267CF" w:rsidRPr="00CF4C4E" w:rsidRDefault="00B267CF" w:rsidP="00CF4C4E">
            <w:pPr>
              <w:rPr>
                <w:b/>
                <w:sz w:val="20"/>
                <w:szCs w:val="20"/>
                <w:lang w:val="en-GB"/>
              </w:rPr>
            </w:pPr>
            <w:r w:rsidRPr="00CF4C4E">
              <w:rPr>
                <w:b/>
                <w:bCs/>
                <w:sz w:val="20"/>
                <w:szCs w:val="20"/>
                <w:lang w:val="en-GB"/>
              </w:rPr>
              <w:t>Partners in the implementation of the activity</w:t>
            </w:r>
          </w:p>
        </w:tc>
        <w:tc>
          <w:tcPr>
            <w:tcW w:w="404" w:type="pct"/>
            <w:vMerge w:val="restart"/>
            <w:tcBorders>
              <w:top w:val="double" w:sz="4" w:space="0" w:color="auto"/>
            </w:tcBorders>
            <w:shd w:val="clear" w:color="auto" w:fill="E5DFEC" w:themeFill="accent4" w:themeFillTint="33"/>
          </w:tcPr>
          <w:p w:rsidR="00B267CF" w:rsidRPr="00CF4C4E" w:rsidRDefault="00B267CF" w:rsidP="00CF4C4E">
            <w:pPr>
              <w:jc w:val="center"/>
              <w:rPr>
                <w:b/>
                <w:sz w:val="20"/>
                <w:szCs w:val="20"/>
                <w:lang w:val="en-GB"/>
              </w:rPr>
            </w:pPr>
            <w:r w:rsidRPr="00CF4C4E">
              <w:rPr>
                <w:b/>
                <w:bCs/>
                <w:sz w:val="20"/>
                <w:szCs w:val="20"/>
                <w:lang w:val="en-GB"/>
              </w:rPr>
              <w:t>Deadline for completion of activity</w:t>
            </w:r>
          </w:p>
        </w:tc>
        <w:tc>
          <w:tcPr>
            <w:tcW w:w="548" w:type="pct"/>
            <w:vMerge w:val="restart"/>
            <w:tcBorders>
              <w:top w:val="double" w:sz="4" w:space="0" w:color="auto"/>
            </w:tcBorders>
            <w:shd w:val="clear" w:color="auto" w:fill="E5DFEC" w:themeFill="accent4" w:themeFillTint="33"/>
          </w:tcPr>
          <w:p w:rsidR="00B267CF" w:rsidRPr="00CF4C4E" w:rsidRDefault="00B267CF" w:rsidP="00CF4C4E">
            <w:pPr>
              <w:jc w:val="center"/>
              <w:rPr>
                <w:b/>
                <w:sz w:val="20"/>
                <w:szCs w:val="20"/>
                <w:lang w:val="en-GB"/>
              </w:rPr>
            </w:pPr>
            <w:r w:rsidRPr="00CF4C4E">
              <w:rPr>
                <w:b/>
                <w:bCs/>
                <w:sz w:val="20"/>
                <w:szCs w:val="20"/>
                <w:lang w:val="en-GB"/>
              </w:rPr>
              <w:t>Source of financing</w:t>
            </w:r>
          </w:p>
        </w:tc>
        <w:tc>
          <w:tcPr>
            <w:tcW w:w="500" w:type="pct"/>
            <w:vMerge w:val="restart"/>
            <w:tcBorders>
              <w:top w:val="double" w:sz="4" w:space="0" w:color="auto"/>
            </w:tcBorders>
            <w:shd w:val="clear" w:color="auto" w:fill="E5DFEC" w:themeFill="accent4" w:themeFillTint="33"/>
          </w:tcPr>
          <w:p w:rsidR="00B267CF" w:rsidRPr="00CF4C4E" w:rsidRDefault="00B267CF" w:rsidP="00CF4C4E">
            <w:pPr>
              <w:rPr>
                <w:b/>
                <w:sz w:val="20"/>
                <w:szCs w:val="20"/>
                <w:lang w:val="en-GB"/>
              </w:rPr>
            </w:pPr>
            <w:r w:rsidRPr="00CF4C4E">
              <w:rPr>
                <w:b/>
                <w:bCs/>
                <w:sz w:val="20"/>
                <w:szCs w:val="20"/>
                <w:lang w:val="en-GB"/>
              </w:rPr>
              <w:t>Link to programme budget</w:t>
            </w:r>
          </w:p>
          <w:p w:rsidR="00B267CF" w:rsidRPr="00CF4C4E" w:rsidRDefault="00B267CF" w:rsidP="00CF4C4E">
            <w:pPr>
              <w:jc w:val="center"/>
              <w:rPr>
                <w:b/>
                <w:sz w:val="20"/>
                <w:szCs w:val="20"/>
                <w:lang w:val="en-GB"/>
              </w:rPr>
            </w:pPr>
          </w:p>
        </w:tc>
        <w:tc>
          <w:tcPr>
            <w:tcW w:w="1883" w:type="pct"/>
            <w:gridSpan w:val="3"/>
            <w:tcBorders>
              <w:top w:val="double" w:sz="4" w:space="0" w:color="auto"/>
            </w:tcBorders>
            <w:shd w:val="clear" w:color="auto" w:fill="E5DFEC" w:themeFill="accent4" w:themeFillTint="33"/>
          </w:tcPr>
          <w:p w:rsidR="00B267CF" w:rsidRPr="00CF4C4E" w:rsidRDefault="00B267CF" w:rsidP="00CF4C4E">
            <w:pPr>
              <w:jc w:val="center"/>
              <w:rPr>
                <w:b/>
                <w:sz w:val="20"/>
                <w:szCs w:val="20"/>
                <w:lang w:val="en-GB"/>
              </w:rPr>
            </w:pPr>
            <w:r w:rsidRPr="00CF4C4E">
              <w:rPr>
                <w:b/>
                <w:bCs/>
                <w:sz w:val="20"/>
                <w:szCs w:val="20"/>
                <w:lang w:val="en-GB"/>
              </w:rPr>
              <w:t>Total assessed financial resources by source in RSD 000</w:t>
            </w:r>
          </w:p>
        </w:tc>
      </w:tr>
      <w:tr w:rsidR="00DB34B7" w:rsidRPr="00CF4C4E" w:rsidTr="002D69E2">
        <w:trPr>
          <w:trHeight w:val="386"/>
          <w:tblHeader/>
        </w:trPr>
        <w:tc>
          <w:tcPr>
            <w:tcW w:w="835" w:type="pct"/>
            <w:vMerge/>
            <w:tcBorders>
              <w:left w:val="double" w:sz="4" w:space="0" w:color="auto"/>
            </w:tcBorders>
            <w:shd w:val="clear" w:color="auto" w:fill="E5DFEC" w:themeFill="accent4" w:themeFillTint="33"/>
          </w:tcPr>
          <w:p w:rsidR="00DB34B7" w:rsidRPr="00CF4C4E" w:rsidRDefault="00DB34B7" w:rsidP="00CF4C4E">
            <w:pPr>
              <w:rPr>
                <w:sz w:val="20"/>
                <w:szCs w:val="20"/>
                <w:lang w:val="en-GB"/>
              </w:rPr>
            </w:pPr>
          </w:p>
        </w:tc>
        <w:tc>
          <w:tcPr>
            <w:tcW w:w="399" w:type="pct"/>
            <w:vMerge/>
            <w:shd w:val="clear" w:color="auto" w:fill="E5DFEC" w:themeFill="accent4" w:themeFillTint="33"/>
          </w:tcPr>
          <w:p w:rsidR="00DB34B7" w:rsidRPr="00CF4C4E" w:rsidRDefault="00DB34B7" w:rsidP="00CF4C4E">
            <w:pPr>
              <w:rPr>
                <w:sz w:val="20"/>
                <w:szCs w:val="20"/>
                <w:lang w:val="en-GB"/>
              </w:rPr>
            </w:pPr>
          </w:p>
        </w:tc>
        <w:tc>
          <w:tcPr>
            <w:tcW w:w="431" w:type="pct"/>
            <w:vMerge/>
            <w:shd w:val="clear" w:color="auto" w:fill="E5DFEC" w:themeFill="accent4" w:themeFillTint="33"/>
          </w:tcPr>
          <w:p w:rsidR="00DB34B7" w:rsidRPr="00CF4C4E" w:rsidRDefault="00DB34B7" w:rsidP="00CF4C4E">
            <w:pPr>
              <w:rPr>
                <w:sz w:val="20"/>
                <w:szCs w:val="20"/>
                <w:lang w:val="en-GB"/>
              </w:rPr>
            </w:pPr>
          </w:p>
        </w:tc>
        <w:tc>
          <w:tcPr>
            <w:tcW w:w="404" w:type="pct"/>
            <w:vMerge/>
            <w:shd w:val="clear" w:color="auto" w:fill="E5DFEC" w:themeFill="accent4" w:themeFillTint="33"/>
          </w:tcPr>
          <w:p w:rsidR="00DB34B7" w:rsidRPr="00CF4C4E" w:rsidRDefault="00DB34B7" w:rsidP="00CF4C4E">
            <w:pPr>
              <w:jc w:val="center"/>
              <w:rPr>
                <w:sz w:val="20"/>
                <w:szCs w:val="20"/>
                <w:lang w:val="en-GB"/>
              </w:rPr>
            </w:pPr>
          </w:p>
        </w:tc>
        <w:tc>
          <w:tcPr>
            <w:tcW w:w="548" w:type="pct"/>
            <w:vMerge/>
            <w:shd w:val="clear" w:color="auto" w:fill="E5DFEC" w:themeFill="accent4" w:themeFillTint="33"/>
          </w:tcPr>
          <w:p w:rsidR="00DB34B7" w:rsidRPr="00CF4C4E" w:rsidRDefault="00DB34B7" w:rsidP="00CF4C4E">
            <w:pPr>
              <w:jc w:val="center"/>
              <w:rPr>
                <w:sz w:val="20"/>
                <w:szCs w:val="20"/>
                <w:lang w:val="en-GB"/>
              </w:rPr>
            </w:pPr>
          </w:p>
        </w:tc>
        <w:tc>
          <w:tcPr>
            <w:tcW w:w="500" w:type="pct"/>
            <w:vMerge/>
            <w:shd w:val="clear" w:color="auto" w:fill="E5DFEC" w:themeFill="accent4" w:themeFillTint="33"/>
          </w:tcPr>
          <w:p w:rsidR="00DB34B7" w:rsidRPr="00CF4C4E" w:rsidRDefault="00DB34B7" w:rsidP="00CF4C4E">
            <w:pPr>
              <w:jc w:val="center"/>
              <w:rPr>
                <w:sz w:val="20"/>
                <w:szCs w:val="20"/>
                <w:lang w:val="en-GB"/>
              </w:rPr>
            </w:pPr>
          </w:p>
        </w:tc>
        <w:tc>
          <w:tcPr>
            <w:tcW w:w="592" w:type="pct"/>
            <w:shd w:val="clear" w:color="auto" w:fill="E5DFEC" w:themeFill="accent4" w:themeFillTint="33"/>
          </w:tcPr>
          <w:p w:rsidR="00DB34B7" w:rsidRPr="00CF4C4E" w:rsidRDefault="00DB34B7" w:rsidP="00CF4C4E">
            <w:pPr>
              <w:jc w:val="center"/>
              <w:rPr>
                <w:b/>
                <w:sz w:val="20"/>
                <w:szCs w:val="20"/>
                <w:lang w:val="en-GB"/>
              </w:rPr>
            </w:pPr>
            <w:r w:rsidRPr="00CF4C4E">
              <w:rPr>
                <w:b/>
                <w:bCs/>
                <w:sz w:val="20"/>
                <w:szCs w:val="20"/>
                <w:lang w:val="en-GB"/>
              </w:rPr>
              <w:t>2020</w:t>
            </w:r>
          </w:p>
        </w:tc>
        <w:tc>
          <w:tcPr>
            <w:tcW w:w="699" w:type="pct"/>
            <w:shd w:val="clear" w:color="auto" w:fill="E5DFEC" w:themeFill="accent4" w:themeFillTint="33"/>
          </w:tcPr>
          <w:p w:rsidR="00DB34B7" w:rsidRPr="00CF4C4E" w:rsidRDefault="00DB34B7" w:rsidP="00CF4C4E">
            <w:pPr>
              <w:jc w:val="center"/>
              <w:rPr>
                <w:b/>
                <w:sz w:val="20"/>
                <w:szCs w:val="20"/>
                <w:lang w:val="en-GB"/>
              </w:rPr>
            </w:pPr>
            <w:r w:rsidRPr="00CF4C4E">
              <w:rPr>
                <w:b/>
                <w:bCs/>
                <w:sz w:val="20"/>
                <w:szCs w:val="20"/>
                <w:lang w:val="en-GB"/>
              </w:rPr>
              <w:t>2021</w:t>
            </w:r>
          </w:p>
        </w:tc>
        <w:tc>
          <w:tcPr>
            <w:tcW w:w="592" w:type="pct"/>
            <w:shd w:val="clear" w:color="auto" w:fill="E5DFEC" w:themeFill="accent4" w:themeFillTint="33"/>
          </w:tcPr>
          <w:p w:rsidR="00DB34B7" w:rsidRPr="00CF4C4E" w:rsidRDefault="00DB34B7" w:rsidP="00CF4C4E">
            <w:pPr>
              <w:jc w:val="center"/>
              <w:rPr>
                <w:b/>
                <w:sz w:val="20"/>
                <w:szCs w:val="20"/>
                <w:lang w:val="en-GB"/>
              </w:rPr>
            </w:pPr>
            <w:r w:rsidRPr="00CF4C4E">
              <w:rPr>
                <w:b/>
                <w:bCs/>
                <w:sz w:val="20"/>
                <w:szCs w:val="20"/>
                <w:lang w:val="en-GB"/>
              </w:rPr>
              <w:t>2022</w:t>
            </w:r>
          </w:p>
          <w:p w:rsidR="00DB34B7" w:rsidRPr="00CF4C4E" w:rsidRDefault="00DB34B7" w:rsidP="00CF4C4E">
            <w:pPr>
              <w:jc w:val="center"/>
              <w:rPr>
                <w:b/>
                <w:sz w:val="20"/>
                <w:szCs w:val="20"/>
                <w:lang w:val="en-GB"/>
              </w:rPr>
            </w:pPr>
          </w:p>
        </w:tc>
      </w:tr>
      <w:tr w:rsidR="00DB34B7" w:rsidRPr="00CF4C4E" w:rsidTr="002D69E2">
        <w:trPr>
          <w:trHeight w:val="140"/>
        </w:trPr>
        <w:tc>
          <w:tcPr>
            <w:tcW w:w="835" w:type="pct"/>
            <w:tcBorders>
              <w:left w:val="double" w:sz="4" w:space="0" w:color="auto"/>
            </w:tcBorders>
          </w:tcPr>
          <w:p w:rsidR="00DB34B7" w:rsidRPr="00CF4C4E" w:rsidRDefault="00DB34B7" w:rsidP="00CF4C4E">
            <w:pPr>
              <w:rPr>
                <w:sz w:val="20"/>
                <w:szCs w:val="20"/>
                <w:lang w:val="en-GB"/>
              </w:rPr>
            </w:pPr>
            <w:r w:rsidRPr="00CF4C4E">
              <w:rPr>
                <w:sz w:val="20"/>
                <w:szCs w:val="20"/>
                <w:lang w:val="en-GB"/>
              </w:rPr>
              <w:t>1.2.1 Development of a plan of priority analyses to be made for the purpose of reviewing threats and vulnerabilities and setting out the methodology for the analyses, taking into account the findings of the NRA and other similar activities as required, such as the EU supranational risk assessment</w:t>
            </w:r>
          </w:p>
        </w:tc>
        <w:tc>
          <w:tcPr>
            <w:tcW w:w="399" w:type="pct"/>
          </w:tcPr>
          <w:p w:rsidR="00DB34B7" w:rsidRPr="00CF4C4E" w:rsidRDefault="00BD0F86" w:rsidP="00CF4C4E">
            <w:pPr>
              <w:rPr>
                <w:sz w:val="20"/>
                <w:szCs w:val="20"/>
                <w:lang w:val="en-GB"/>
              </w:rPr>
            </w:pPr>
            <w:r w:rsidRPr="00CF4C4E">
              <w:rPr>
                <w:sz w:val="20"/>
                <w:szCs w:val="20"/>
                <w:lang w:val="en-GB"/>
              </w:rPr>
              <w:t>APML</w:t>
            </w:r>
          </w:p>
        </w:tc>
        <w:tc>
          <w:tcPr>
            <w:tcW w:w="431" w:type="pct"/>
          </w:tcPr>
          <w:p w:rsidR="00DB34B7" w:rsidRPr="00CF4C4E" w:rsidRDefault="009E1129" w:rsidP="00CF4C4E">
            <w:pPr>
              <w:rPr>
                <w:sz w:val="20"/>
                <w:szCs w:val="20"/>
                <w:lang w:val="en-GB"/>
              </w:rPr>
            </w:pPr>
            <w:r w:rsidRPr="00CF4C4E">
              <w:rPr>
                <w:sz w:val="20"/>
                <w:szCs w:val="20"/>
                <w:lang w:val="en-GB"/>
              </w:rPr>
              <w:t>AML/CFT CB</w:t>
            </w:r>
          </w:p>
        </w:tc>
        <w:tc>
          <w:tcPr>
            <w:tcW w:w="404" w:type="pct"/>
          </w:tcPr>
          <w:p w:rsidR="00DB34B7" w:rsidRPr="00CF4C4E" w:rsidRDefault="0053445B" w:rsidP="00CF4C4E">
            <w:pPr>
              <w:rPr>
                <w:sz w:val="20"/>
                <w:szCs w:val="20"/>
                <w:lang w:val="en-GB"/>
              </w:rPr>
            </w:pPr>
            <w:r w:rsidRPr="00CF4C4E">
              <w:rPr>
                <w:sz w:val="20"/>
                <w:szCs w:val="20"/>
                <w:lang w:val="en-GB"/>
              </w:rPr>
              <w:t>I quarter of 2020</w:t>
            </w:r>
          </w:p>
        </w:tc>
        <w:tc>
          <w:tcPr>
            <w:tcW w:w="548" w:type="pct"/>
          </w:tcPr>
          <w:p w:rsidR="00DD68A6" w:rsidRPr="00CF4C4E" w:rsidRDefault="00DD68A6" w:rsidP="00CF4C4E">
            <w:pPr>
              <w:rPr>
                <w:sz w:val="20"/>
                <w:szCs w:val="20"/>
                <w:lang w:val="en-GB"/>
              </w:rPr>
            </w:pPr>
            <w:r w:rsidRPr="00CF4C4E">
              <w:rPr>
                <w:sz w:val="20"/>
                <w:szCs w:val="20"/>
                <w:lang w:val="en-GB"/>
              </w:rPr>
              <w:t>Financed as part of regular activities of staff</w:t>
            </w:r>
          </w:p>
          <w:p w:rsidR="00DB34B7" w:rsidRPr="00CF4C4E" w:rsidRDefault="00DB34B7" w:rsidP="00CF4C4E">
            <w:pPr>
              <w:rPr>
                <w:color w:val="FF0000"/>
                <w:sz w:val="20"/>
                <w:szCs w:val="20"/>
                <w:highlight w:val="yellow"/>
                <w:lang w:val="en-GB"/>
              </w:rPr>
            </w:pPr>
          </w:p>
        </w:tc>
        <w:tc>
          <w:tcPr>
            <w:tcW w:w="500" w:type="pct"/>
          </w:tcPr>
          <w:p w:rsidR="00DB34B7" w:rsidRPr="00CF4C4E" w:rsidRDefault="00DB34B7" w:rsidP="00CF4C4E">
            <w:pPr>
              <w:rPr>
                <w:color w:val="FF0000"/>
                <w:sz w:val="20"/>
                <w:szCs w:val="20"/>
                <w:highlight w:val="yellow"/>
                <w:lang w:val="en-GB"/>
              </w:rPr>
            </w:pPr>
          </w:p>
        </w:tc>
        <w:tc>
          <w:tcPr>
            <w:tcW w:w="592" w:type="pct"/>
          </w:tcPr>
          <w:p w:rsidR="00DB34B7" w:rsidRPr="00CF4C4E" w:rsidRDefault="00DB34B7" w:rsidP="00CF4C4E">
            <w:pPr>
              <w:rPr>
                <w:color w:val="FF0000"/>
                <w:sz w:val="20"/>
                <w:szCs w:val="20"/>
                <w:highlight w:val="yellow"/>
                <w:lang w:val="en-GB"/>
              </w:rPr>
            </w:pPr>
          </w:p>
        </w:tc>
        <w:tc>
          <w:tcPr>
            <w:tcW w:w="699" w:type="pct"/>
          </w:tcPr>
          <w:p w:rsidR="00DB34B7" w:rsidRPr="00CF4C4E" w:rsidRDefault="00DB34B7" w:rsidP="00CF4C4E">
            <w:pPr>
              <w:rPr>
                <w:color w:val="FF0000"/>
                <w:sz w:val="20"/>
                <w:szCs w:val="20"/>
                <w:highlight w:val="yellow"/>
                <w:lang w:val="en-GB"/>
              </w:rPr>
            </w:pPr>
          </w:p>
        </w:tc>
        <w:tc>
          <w:tcPr>
            <w:tcW w:w="592" w:type="pct"/>
          </w:tcPr>
          <w:p w:rsidR="00DB34B7" w:rsidRPr="00CF4C4E" w:rsidRDefault="00DB34B7" w:rsidP="00CF4C4E">
            <w:pPr>
              <w:rPr>
                <w:sz w:val="20"/>
                <w:szCs w:val="20"/>
                <w:lang w:val="en-GB"/>
              </w:rPr>
            </w:pPr>
          </w:p>
        </w:tc>
      </w:tr>
      <w:tr w:rsidR="00BD0F86" w:rsidRPr="00CF4C4E" w:rsidTr="00CF4C4E">
        <w:trPr>
          <w:trHeight w:val="3004"/>
        </w:trPr>
        <w:tc>
          <w:tcPr>
            <w:tcW w:w="835" w:type="pct"/>
            <w:tcBorders>
              <w:left w:val="double" w:sz="4" w:space="0" w:color="auto"/>
            </w:tcBorders>
          </w:tcPr>
          <w:p w:rsidR="00BD0F86" w:rsidRPr="00CF4C4E" w:rsidRDefault="00BD0F86" w:rsidP="00CF4C4E">
            <w:pPr>
              <w:rPr>
                <w:sz w:val="20"/>
                <w:szCs w:val="20"/>
                <w:lang w:val="en-GB"/>
              </w:rPr>
            </w:pPr>
            <w:r w:rsidRPr="00CF4C4E">
              <w:rPr>
                <w:sz w:val="20"/>
                <w:szCs w:val="20"/>
                <w:lang w:val="en-GB"/>
              </w:rPr>
              <w:t xml:space="preserve">1.2.2 Development of the analyses under item 1.2.1 and presentation of the outcomes of such analyses in an appropriate format to stakeholders, as required. </w:t>
            </w:r>
          </w:p>
        </w:tc>
        <w:tc>
          <w:tcPr>
            <w:tcW w:w="399" w:type="pct"/>
          </w:tcPr>
          <w:p w:rsidR="00BD0F86" w:rsidRPr="00CF4C4E" w:rsidRDefault="009E1129" w:rsidP="00CF4C4E">
            <w:pPr>
              <w:rPr>
                <w:sz w:val="20"/>
                <w:szCs w:val="20"/>
                <w:lang w:val="en-GB"/>
              </w:rPr>
            </w:pPr>
            <w:r w:rsidRPr="00CF4C4E">
              <w:rPr>
                <w:sz w:val="20"/>
                <w:szCs w:val="20"/>
                <w:lang w:val="en-GB"/>
              </w:rPr>
              <w:t xml:space="preserve">AML/CFT CB </w:t>
            </w:r>
          </w:p>
        </w:tc>
        <w:tc>
          <w:tcPr>
            <w:tcW w:w="431" w:type="pct"/>
          </w:tcPr>
          <w:p w:rsidR="00BD0F86" w:rsidRPr="00CF4C4E" w:rsidRDefault="009E1129" w:rsidP="00CF4C4E">
            <w:pPr>
              <w:rPr>
                <w:sz w:val="20"/>
                <w:szCs w:val="20"/>
                <w:lang w:val="en-GB"/>
              </w:rPr>
            </w:pPr>
            <w:r w:rsidRPr="00CF4C4E">
              <w:rPr>
                <w:sz w:val="20"/>
                <w:szCs w:val="20"/>
                <w:lang w:val="en-GB"/>
              </w:rPr>
              <w:t>RPPO, MoI, APML, MoF-CA, Supervisory authorities, private sector partners (obliged entities and professional associations)</w:t>
            </w:r>
          </w:p>
        </w:tc>
        <w:tc>
          <w:tcPr>
            <w:tcW w:w="404" w:type="pct"/>
          </w:tcPr>
          <w:p w:rsidR="00BD0F86" w:rsidRPr="00CF4C4E" w:rsidRDefault="0053445B" w:rsidP="00CF4C4E">
            <w:pPr>
              <w:rPr>
                <w:sz w:val="20"/>
                <w:szCs w:val="20"/>
                <w:lang w:val="en-GB"/>
              </w:rPr>
            </w:pPr>
            <w:r w:rsidRPr="00CF4C4E">
              <w:rPr>
                <w:sz w:val="20"/>
                <w:szCs w:val="20"/>
                <w:lang w:val="en-GB"/>
              </w:rPr>
              <w:t>II quarter of 2020 - IV quarter 2020</w:t>
            </w:r>
          </w:p>
        </w:tc>
        <w:tc>
          <w:tcPr>
            <w:tcW w:w="548" w:type="pct"/>
          </w:tcPr>
          <w:p w:rsidR="00F77324" w:rsidRPr="00CF4C4E" w:rsidRDefault="00F77324" w:rsidP="00CF4C4E">
            <w:pPr>
              <w:rPr>
                <w:sz w:val="20"/>
                <w:szCs w:val="20"/>
                <w:lang w:val="en-GB"/>
              </w:rPr>
            </w:pPr>
            <w:r w:rsidRPr="00CF4C4E">
              <w:rPr>
                <w:sz w:val="20"/>
                <w:szCs w:val="20"/>
                <w:lang w:val="en-GB"/>
              </w:rPr>
              <w:t>Financed as part of regular activities of staff</w:t>
            </w:r>
          </w:p>
          <w:p w:rsidR="00BD0F86" w:rsidRPr="00CF4C4E" w:rsidRDefault="00F77324" w:rsidP="00CF4C4E">
            <w:pPr>
              <w:pStyle w:val="basic-paragraph"/>
              <w:spacing w:before="0" w:beforeAutospacing="0" w:after="0" w:afterAutospacing="0"/>
              <w:rPr>
                <w:sz w:val="20"/>
                <w:szCs w:val="20"/>
                <w:highlight w:val="yellow"/>
                <w:lang w:val="en-GB"/>
              </w:rPr>
            </w:pPr>
            <w:r w:rsidRPr="00CF4C4E">
              <w:rPr>
                <w:sz w:val="20"/>
                <w:szCs w:val="20"/>
                <w:lang w:val="en-GB"/>
              </w:rPr>
              <w:t xml:space="preserve">International donor funds (e.g. EU support to the prevention of ML and TF in Serbia, IPA 2015, OSCE) </w:t>
            </w:r>
          </w:p>
        </w:tc>
        <w:tc>
          <w:tcPr>
            <w:tcW w:w="500" w:type="pct"/>
          </w:tcPr>
          <w:p w:rsidR="00BD0F86" w:rsidRPr="00CF4C4E" w:rsidRDefault="00BD0F86" w:rsidP="00CF4C4E">
            <w:pPr>
              <w:rPr>
                <w:sz w:val="20"/>
                <w:szCs w:val="20"/>
                <w:lang w:val="en-GB"/>
              </w:rPr>
            </w:pPr>
          </w:p>
        </w:tc>
        <w:tc>
          <w:tcPr>
            <w:tcW w:w="592" w:type="pct"/>
          </w:tcPr>
          <w:p w:rsidR="00BD0F86" w:rsidRPr="00CF4C4E" w:rsidRDefault="00BD0F86" w:rsidP="00CF4C4E">
            <w:pPr>
              <w:rPr>
                <w:sz w:val="20"/>
                <w:szCs w:val="20"/>
                <w:lang w:val="en-GB"/>
              </w:rPr>
            </w:pPr>
          </w:p>
        </w:tc>
        <w:tc>
          <w:tcPr>
            <w:tcW w:w="699" w:type="pct"/>
          </w:tcPr>
          <w:p w:rsidR="00BD0F86" w:rsidRPr="00CF4C4E" w:rsidRDefault="00BD0F86" w:rsidP="00CF4C4E">
            <w:pPr>
              <w:rPr>
                <w:sz w:val="20"/>
                <w:szCs w:val="20"/>
                <w:lang w:val="en-GB"/>
              </w:rPr>
            </w:pPr>
          </w:p>
        </w:tc>
        <w:tc>
          <w:tcPr>
            <w:tcW w:w="592" w:type="pct"/>
          </w:tcPr>
          <w:p w:rsidR="00BD0F86" w:rsidRPr="00CF4C4E" w:rsidRDefault="00BD0F86" w:rsidP="00CF4C4E">
            <w:pPr>
              <w:rPr>
                <w:sz w:val="20"/>
                <w:szCs w:val="20"/>
                <w:lang w:val="en-GB"/>
              </w:rPr>
            </w:pPr>
          </w:p>
        </w:tc>
      </w:tr>
      <w:tr w:rsidR="00DB34B7" w:rsidRPr="00CF4C4E" w:rsidTr="00C802E4">
        <w:trPr>
          <w:trHeight w:val="2405"/>
        </w:trPr>
        <w:tc>
          <w:tcPr>
            <w:tcW w:w="835" w:type="pct"/>
            <w:tcBorders>
              <w:left w:val="double" w:sz="4" w:space="0" w:color="auto"/>
            </w:tcBorders>
          </w:tcPr>
          <w:p w:rsidR="00DA0EC2" w:rsidRPr="00CF4C4E" w:rsidRDefault="00DB34B7" w:rsidP="00CF4C4E">
            <w:pPr>
              <w:rPr>
                <w:sz w:val="20"/>
                <w:szCs w:val="20"/>
                <w:lang w:val="en-GB"/>
              </w:rPr>
            </w:pPr>
            <w:r w:rsidRPr="00CF4C4E">
              <w:rPr>
                <w:sz w:val="20"/>
                <w:szCs w:val="20"/>
                <w:lang w:val="en-GB"/>
              </w:rPr>
              <w:lastRenderedPageBreak/>
              <w:t>1.2.3 Analysis of frequent ML and TF patterns and trends, development of the trends and typologies analysis document and presentation of the results of these analysis in appropriate formats to all relevant stakeholders (Trends and Typologies document)</w:t>
            </w:r>
          </w:p>
        </w:tc>
        <w:tc>
          <w:tcPr>
            <w:tcW w:w="399" w:type="pct"/>
          </w:tcPr>
          <w:p w:rsidR="00DB34B7" w:rsidRPr="00CF4C4E" w:rsidRDefault="0053445B" w:rsidP="00CF4C4E">
            <w:pPr>
              <w:rPr>
                <w:sz w:val="20"/>
                <w:szCs w:val="20"/>
                <w:lang w:val="en-GB"/>
              </w:rPr>
            </w:pPr>
            <w:r w:rsidRPr="00CF4C4E">
              <w:rPr>
                <w:sz w:val="20"/>
                <w:szCs w:val="20"/>
                <w:lang w:val="en-GB"/>
              </w:rPr>
              <w:t>APML</w:t>
            </w:r>
          </w:p>
        </w:tc>
        <w:tc>
          <w:tcPr>
            <w:tcW w:w="431" w:type="pct"/>
          </w:tcPr>
          <w:p w:rsidR="00DB34B7" w:rsidRPr="00CF4C4E" w:rsidRDefault="009E1129" w:rsidP="00CF4C4E">
            <w:pPr>
              <w:rPr>
                <w:sz w:val="20"/>
                <w:szCs w:val="20"/>
                <w:lang w:val="en-GB"/>
              </w:rPr>
            </w:pPr>
            <w:r w:rsidRPr="00CF4C4E">
              <w:rPr>
                <w:sz w:val="20"/>
                <w:szCs w:val="20"/>
                <w:lang w:val="en-GB"/>
              </w:rPr>
              <w:t>AML/CFT CB, RPPO, MoI, APML, MoF-CA, Supervisory authorities, etc.</w:t>
            </w:r>
          </w:p>
        </w:tc>
        <w:tc>
          <w:tcPr>
            <w:tcW w:w="404" w:type="pct"/>
          </w:tcPr>
          <w:p w:rsidR="00DB34B7" w:rsidRPr="00CF4C4E" w:rsidRDefault="0053445B" w:rsidP="00CF4C4E">
            <w:pPr>
              <w:rPr>
                <w:color w:val="FF0000"/>
                <w:sz w:val="20"/>
                <w:szCs w:val="20"/>
                <w:lang w:val="en-GB"/>
              </w:rPr>
            </w:pPr>
            <w:r w:rsidRPr="00CF4C4E">
              <w:rPr>
                <w:sz w:val="20"/>
                <w:szCs w:val="20"/>
                <w:lang w:val="en-GB"/>
              </w:rPr>
              <w:t>IV quarter of 2021</w:t>
            </w:r>
          </w:p>
        </w:tc>
        <w:tc>
          <w:tcPr>
            <w:tcW w:w="548" w:type="pct"/>
          </w:tcPr>
          <w:p w:rsidR="00F77324" w:rsidRPr="00CF4C4E" w:rsidRDefault="00F77324" w:rsidP="00CF4C4E">
            <w:pPr>
              <w:rPr>
                <w:sz w:val="20"/>
                <w:szCs w:val="20"/>
                <w:lang w:val="en-GB"/>
              </w:rPr>
            </w:pPr>
            <w:r w:rsidRPr="00CF4C4E">
              <w:rPr>
                <w:sz w:val="20"/>
                <w:szCs w:val="20"/>
                <w:lang w:val="en-GB"/>
              </w:rPr>
              <w:t>Financed as part of regular activities of staff</w:t>
            </w:r>
          </w:p>
          <w:p w:rsidR="00DB34B7" w:rsidRPr="00CF4C4E" w:rsidRDefault="00F77324" w:rsidP="00CF4C4E">
            <w:pPr>
              <w:pStyle w:val="basic-paragraph"/>
              <w:spacing w:before="0" w:beforeAutospacing="0" w:after="0" w:afterAutospacing="0"/>
              <w:rPr>
                <w:sz w:val="20"/>
                <w:szCs w:val="20"/>
                <w:lang w:val="en-GB"/>
              </w:rPr>
            </w:pPr>
            <w:r w:rsidRPr="00CF4C4E">
              <w:rPr>
                <w:sz w:val="20"/>
                <w:szCs w:val="20"/>
                <w:lang w:val="en-GB"/>
              </w:rPr>
              <w:t>International donor funds (e.g. OSCE)</w:t>
            </w:r>
          </w:p>
        </w:tc>
        <w:tc>
          <w:tcPr>
            <w:tcW w:w="500" w:type="pct"/>
          </w:tcPr>
          <w:p w:rsidR="00DB34B7" w:rsidRPr="00CF4C4E" w:rsidRDefault="00DB34B7" w:rsidP="00CF4C4E">
            <w:pPr>
              <w:rPr>
                <w:sz w:val="20"/>
                <w:szCs w:val="20"/>
                <w:lang w:val="en-GB"/>
              </w:rPr>
            </w:pPr>
          </w:p>
        </w:tc>
        <w:tc>
          <w:tcPr>
            <w:tcW w:w="592" w:type="pct"/>
          </w:tcPr>
          <w:p w:rsidR="00DB34B7" w:rsidRPr="00CF4C4E" w:rsidRDefault="00DB34B7" w:rsidP="00CF4C4E">
            <w:pPr>
              <w:rPr>
                <w:sz w:val="20"/>
                <w:szCs w:val="20"/>
                <w:lang w:val="en-GB"/>
              </w:rPr>
            </w:pPr>
          </w:p>
        </w:tc>
        <w:tc>
          <w:tcPr>
            <w:tcW w:w="699" w:type="pct"/>
          </w:tcPr>
          <w:p w:rsidR="00DB34B7" w:rsidRPr="00CF4C4E" w:rsidRDefault="00DB34B7" w:rsidP="00CF4C4E">
            <w:pPr>
              <w:rPr>
                <w:sz w:val="20"/>
                <w:szCs w:val="20"/>
                <w:lang w:val="en-GB"/>
              </w:rPr>
            </w:pPr>
          </w:p>
        </w:tc>
        <w:tc>
          <w:tcPr>
            <w:tcW w:w="592" w:type="pct"/>
          </w:tcPr>
          <w:p w:rsidR="00DB34B7" w:rsidRPr="00CF4C4E" w:rsidRDefault="00DB34B7" w:rsidP="00CF4C4E">
            <w:pPr>
              <w:rPr>
                <w:sz w:val="20"/>
                <w:szCs w:val="20"/>
                <w:lang w:val="en-GB"/>
              </w:rPr>
            </w:pPr>
          </w:p>
        </w:tc>
      </w:tr>
      <w:tr w:rsidR="00DB34B7" w:rsidRPr="00CF4C4E" w:rsidTr="002D69E2">
        <w:trPr>
          <w:trHeight w:val="140"/>
        </w:trPr>
        <w:tc>
          <w:tcPr>
            <w:tcW w:w="835" w:type="pct"/>
            <w:tcBorders>
              <w:left w:val="double" w:sz="4" w:space="0" w:color="auto"/>
            </w:tcBorders>
          </w:tcPr>
          <w:p w:rsidR="00DB34B7" w:rsidRPr="00CF4C4E" w:rsidRDefault="00DB34B7" w:rsidP="00CF4C4E">
            <w:pPr>
              <w:rPr>
                <w:sz w:val="20"/>
                <w:szCs w:val="20"/>
                <w:lang w:val="en-GB"/>
              </w:rPr>
            </w:pPr>
            <w:r w:rsidRPr="00CF4C4E">
              <w:rPr>
                <w:sz w:val="20"/>
                <w:szCs w:val="20"/>
                <w:lang w:val="en-GB"/>
              </w:rPr>
              <w:t>1.2.4 Analysis and monitoring of risks by supervisors with respect to new products and technologies introduced in the financial and non-financial sectors</w:t>
            </w:r>
          </w:p>
        </w:tc>
        <w:tc>
          <w:tcPr>
            <w:tcW w:w="399" w:type="pct"/>
          </w:tcPr>
          <w:p w:rsidR="00DB34B7" w:rsidRPr="00CF4C4E" w:rsidRDefault="009E1129" w:rsidP="00CF4C4E">
            <w:pPr>
              <w:rPr>
                <w:sz w:val="20"/>
                <w:szCs w:val="20"/>
                <w:lang w:val="en-GB"/>
              </w:rPr>
            </w:pPr>
            <w:r w:rsidRPr="00CF4C4E">
              <w:rPr>
                <w:sz w:val="20"/>
                <w:szCs w:val="20"/>
                <w:lang w:val="en-GB"/>
              </w:rPr>
              <w:t>AML/CFT CB</w:t>
            </w:r>
          </w:p>
        </w:tc>
        <w:tc>
          <w:tcPr>
            <w:tcW w:w="431" w:type="pct"/>
          </w:tcPr>
          <w:p w:rsidR="00DB34B7" w:rsidRPr="00CF4C4E" w:rsidRDefault="0053445B" w:rsidP="00CF4C4E">
            <w:pPr>
              <w:rPr>
                <w:sz w:val="20"/>
                <w:szCs w:val="20"/>
                <w:lang w:val="en-GB"/>
              </w:rPr>
            </w:pPr>
            <w:r w:rsidRPr="00CF4C4E">
              <w:rPr>
                <w:sz w:val="20"/>
                <w:szCs w:val="20"/>
                <w:lang w:val="en-GB"/>
              </w:rPr>
              <w:t>Supervisory authorities, APML, MoI, RPPO, obliged entities</w:t>
            </w:r>
          </w:p>
        </w:tc>
        <w:tc>
          <w:tcPr>
            <w:tcW w:w="404" w:type="pct"/>
          </w:tcPr>
          <w:p w:rsidR="00DB34B7" w:rsidRPr="00CF4C4E" w:rsidRDefault="0053445B" w:rsidP="00CF4C4E">
            <w:pPr>
              <w:rPr>
                <w:sz w:val="20"/>
                <w:szCs w:val="20"/>
                <w:lang w:val="en-GB"/>
              </w:rPr>
            </w:pPr>
            <w:r w:rsidRPr="00CF4C4E">
              <w:rPr>
                <w:sz w:val="20"/>
                <w:szCs w:val="20"/>
                <w:lang w:val="en-GB"/>
              </w:rPr>
              <w:t>IV quarter of 2022</w:t>
            </w:r>
          </w:p>
        </w:tc>
        <w:tc>
          <w:tcPr>
            <w:tcW w:w="548" w:type="pct"/>
          </w:tcPr>
          <w:p w:rsidR="00F77324" w:rsidRPr="00CF4C4E" w:rsidRDefault="00F77324" w:rsidP="00CF4C4E">
            <w:pPr>
              <w:rPr>
                <w:sz w:val="20"/>
                <w:szCs w:val="20"/>
                <w:lang w:val="en-GB"/>
              </w:rPr>
            </w:pPr>
            <w:r w:rsidRPr="00CF4C4E">
              <w:rPr>
                <w:sz w:val="20"/>
                <w:szCs w:val="20"/>
                <w:lang w:val="en-GB"/>
              </w:rPr>
              <w:t>Financed as part of regular activities of staff</w:t>
            </w:r>
          </w:p>
          <w:p w:rsidR="00DB34B7" w:rsidRPr="00CF4C4E" w:rsidRDefault="00DB34B7" w:rsidP="00CF4C4E">
            <w:pPr>
              <w:rPr>
                <w:color w:val="FF0000"/>
                <w:sz w:val="20"/>
                <w:szCs w:val="20"/>
                <w:lang w:val="en-GB"/>
              </w:rPr>
            </w:pPr>
          </w:p>
        </w:tc>
        <w:tc>
          <w:tcPr>
            <w:tcW w:w="500" w:type="pct"/>
          </w:tcPr>
          <w:p w:rsidR="00DB34B7" w:rsidRPr="00CF4C4E" w:rsidRDefault="00DB34B7" w:rsidP="00CF4C4E">
            <w:pPr>
              <w:rPr>
                <w:sz w:val="20"/>
                <w:szCs w:val="20"/>
                <w:lang w:val="en-GB"/>
              </w:rPr>
            </w:pPr>
          </w:p>
        </w:tc>
        <w:tc>
          <w:tcPr>
            <w:tcW w:w="592" w:type="pct"/>
          </w:tcPr>
          <w:p w:rsidR="00DB34B7" w:rsidRPr="00CF4C4E" w:rsidRDefault="00DB34B7" w:rsidP="00CF4C4E">
            <w:pPr>
              <w:rPr>
                <w:sz w:val="20"/>
                <w:szCs w:val="20"/>
                <w:lang w:val="en-GB"/>
              </w:rPr>
            </w:pPr>
          </w:p>
        </w:tc>
        <w:tc>
          <w:tcPr>
            <w:tcW w:w="699" w:type="pct"/>
          </w:tcPr>
          <w:p w:rsidR="00DB34B7" w:rsidRPr="00CF4C4E" w:rsidRDefault="00DB34B7" w:rsidP="00CF4C4E">
            <w:pPr>
              <w:rPr>
                <w:sz w:val="20"/>
                <w:szCs w:val="20"/>
                <w:lang w:val="en-GB"/>
              </w:rPr>
            </w:pPr>
          </w:p>
        </w:tc>
        <w:tc>
          <w:tcPr>
            <w:tcW w:w="592" w:type="pct"/>
          </w:tcPr>
          <w:p w:rsidR="00DB34B7" w:rsidRPr="00CF4C4E" w:rsidRDefault="00DB34B7" w:rsidP="00CF4C4E">
            <w:pPr>
              <w:rPr>
                <w:sz w:val="20"/>
                <w:szCs w:val="20"/>
                <w:lang w:val="en-GB"/>
              </w:rPr>
            </w:pPr>
          </w:p>
        </w:tc>
      </w:tr>
      <w:tr w:rsidR="00F77324" w:rsidRPr="00CF4C4E" w:rsidTr="002D69E2">
        <w:trPr>
          <w:trHeight w:val="140"/>
        </w:trPr>
        <w:tc>
          <w:tcPr>
            <w:tcW w:w="835" w:type="pct"/>
          </w:tcPr>
          <w:p w:rsidR="00DA0EC2" w:rsidRPr="00CF4C4E" w:rsidRDefault="002374BA" w:rsidP="00CF4C4E">
            <w:pPr>
              <w:rPr>
                <w:sz w:val="20"/>
                <w:szCs w:val="20"/>
                <w:lang w:val="en-GB"/>
              </w:rPr>
            </w:pPr>
            <w:r w:rsidRPr="00CF4C4E">
              <w:rPr>
                <w:sz w:val="20"/>
                <w:szCs w:val="20"/>
                <w:lang w:val="en-GB"/>
              </w:rPr>
              <w:t xml:space="preserve">1.2.5 Establish a normative framework to govern in more detail virtual assets and virtual asset service providers, and additionally improve the current legal framework concerning mitigation of ML/TF risk in relation with these assets  </w:t>
            </w:r>
          </w:p>
        </w:tc>
        <w:tc>
          <w:tcPr>
            <w:tcW w:w="399" w:type="pct"/>
          </w:tcPr>
          <w:p w:rsidR="00F77324" w:rsidRPr="00CF4C4E" w:rsidRDefault="009E1129" w:rsidP="00CF4C4E">
            <w:pPr>
              <w:rPr>
                <w:sz w:val="20"/>
                <w:szCs w:val="20"/>
                <w:lang w:val="en-GB"/>
              </w:rPr>
            </w:pPr>
            <w:r w:rsidRPr="00CF4C4E">
              <w:rPr>
                <w:sz w:val="20"/>
                <w:szCs w:val="20"/>
                <w:lang w:val="en-GB"/>
              </w:rPr>
              <w:t>GoS</w:t>
            </w:r>
          </w:p>
        </w:tc>
        <w:tc>
          <w:tcPr>
            <w:tcW w:w="431" w:type="pct"/>
          </w:tcPr>
          <w:p w:rsidR="00F77324" w:rsidRPr="00CF4C4E" w:rsidRDefault="00F77324" w:rsidP="00CF4C4E">
            <w:pPr>
              <w:rPr>
                <w:sz w:val="20"/>
                <w:szCs w:val="20"/>
                <w:lang w:val="en-GB"/>
              </w:rPr>
            </w:pPr>
            <w:r w:rsidRPr="00CF4C4E">
              <w:rPr>
                <w:sz w:val="20"/>
                <w:szCs w:val="20"/>
                <w:lang w:val="en-GB"/>
              </w:rPr>
              <w:t>SC, NBS, MoF</w:t>
            </w:r>
          </w:p>
        </w:tc>
        <w:tc>
          <w:tcPr>
            <w:tcW w:w="404" w:type="pct"/>
          </w:tcPr>
          <w:p w:rsidR="00F77324" w:rsidRPr="00CF4C4E" w:rsidRDefault="00F77324" w:rsidP="00CF4C4E">
            <w:pPr>
              <w:rPr>
                <w:color w:val="FF0000"/>
                <w:sz w:val="20"/>
                <w:szCs w:val="20"/>
                <w:lang w:val="en-GB"/>
              </w:rPr>
            </w:pPr>
            <w:r w:rsidRPr="00CF4C4E">
              <w:rPr>
                <w:sz w:val="20"/>
                <w:szCs w:val="20"/>
                <w:lang w:val="en-GB"/>
              </w:rPr>
              <w:t>IV quarter of 2020</w:t>
            </w:r>
          </w:p>
        </w:tc>
        <w:tc>
          <w:tcPr>
            <w:tcW w:w="548" w:type="pct"/>
          </w:tcPr>
          <w:p w:rsidR="00F77324" w:rsidRPr="00CF4C4E" w:rsidRDefault="00F77324" w:rsidP="00CF4C4E">
            <w:pPr>
              <w:rPr>
                <w:sz w:val="20"/>
                <w:szCs w:val="20"/>
                <w:lang w:val="en-GB"/>
              </w:rPr>
            </w:pPr>
            <w:r w:rsidRPr="00CF4C4E">
              <w:rPr>
                <w:sz w:val="20"/>
                <w:szCs w:val="20"/>
                <w:lang w:val="en-GB"/>
              </w:rPr>
              <w:t>Financed as part of regular activities of staff</w:t>
            </w:r>
          </w:p>
        </w:tc>
        <w:tc>
          <w:tcPr>
            <w:tcW w:w="500"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c>
          <w:tcPr>
            <w:tcW w:w="699"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r>
      <w:tr w:rsidR="00F77324" w:rsidRPr="00CF4C4E" w:rsidTr="002D69E2">
        <w:trPr>
          <w:trHeight w:val="140"/>
        </w:trPr>
        <w:tc>
          <w:tcPr>
            <w:tcW w:w="835" w:type="pct"/>
          </w:tcPr>
          <w:p w:rsidR="00F77324" w:rsidRPr="00CF4C4E" w:rsidRDefault="00F77324" w:rsidP="00CF4C4E">
            <w:pPr>
              <w:rPr>
                <w:sz w:val="20"/>
                <w:szCs w:val="20"/>
                <w:lang w:val="en-GB"/>
              </w:rPr>
            </w:pPr>
            <w:r w:rsidRPr="00CF4C4E">
              <w:rPr>
                <w:sz w:val="20"/>
                <w:szCs w:val="20"/>
                <w:lang w:val="en-GB"/>
              </w:rPr>
              <w:t>1.2.6 Analyse threats in relation to operations of e-money institutions from third countries</w:t>
            </w:r>
          </w:p>
        </w:tc>
        <w:tc>
          <w:tcPr>
            <w:tcW w:w="399" w:type="pct"/>
          </w:tcPr>
          <w:p w:rsidR="00F77324" w:rsidRPr="00CF4C4E" w:rsidRDefault="00F77324" w:rsidP="00CF4C4E">
            <w:pPr>
              <w:rPr>
                <w:sz w:val="20"/>
                <w:szCs w:val="20"/>
                <w:lang w:val="en-GB"/>
              </w:rPr>
            </w:pPr>
            <w:r w:rsidRPr="00CF4C4E">
              <w:rPr>
                <w:sz w:val="20"/>
                <w:szCs w:val="20"/>
                <w:lang w:val="en-GB"/>
              </w:rPr>
              <w:t>NBS</w:t>
            </w:r>
          </w:p>
        </w:tc>
        <w:tc>
          <w:tcPr>
            <w:tcW w:w="431" w:type="pct"/>
          </w:tcPr>
          <w:p w:rsidR="00F77324" w:rsidRPr="00CF4C4E" w:rsidRDefault="00F77324" w:rsidP="00CF4C4E">
            <w:pPr>
              <w:rPr>
                <w:sz w:val="20"/>
                <w:szCs w:val="20"/>
                <w:lang w:val="en-GB"/>
              </w:rPr>
            </w:pPr>
            <w:r w:rsidRPr="00CF4C4E">
              <w:rPr>
                <w:sz w:val="20"/>
                <w:szCs w:val="20"/>
                <w:lang w:val="en-GB"/>
              </w:rPr>
              <w:t>APML, MoI, AML/CFT CB</w:t>
            </w:r>
          </w:p>
        </w:tc>
        <w:tc>
          <w:tcPr>
            <w:tcW w:w="404" w:type="pct"/>
          </w:tcPr>
          <w:p w:rsidR="00F77324" w:rsidRPr="00CF4C4E" w:rsidRDefault="00F77324" w:rsidP="00CF4C4E">
            <w:pPr>
              <w:rPr>
                <w:sz w:val="20"/>
                <w:szCs w:val="20"/>
                <w:lang w:val="en-GB"/>
              </w:rPr>
            </w:pPr>
            <w:r w:rsidRPr="00CF4C4E">
              <w:rPr>
                <w:sz w:val="20"/>
                <w:szCs w:val="20"/>
                <w:lang w:val="en-GB"/>
              </w:rPr>
              <w:t>December 2020</w:t>
            </w:r>
          </w:p>
        </w:tc>
        <w:tc>
          <w:tcPr>
            <w:tcW w:w="548" w:type="pct"/>
          </w:tcPr>
          <w:p w:rsidR="00F77324" w:rsidRPr="00CF4C4E" w:rsidRDefault="00F77324" w:rsidP="00CF4C4E">
            <w:pPr>
              <w:rPr>
                <w:sz w:val="20"/>
                <w:szCs w:val="20"/>
                <w:lang w:val="en-GB"/>
              </w:rPr>
            </w:pPr>
            <w:r w:rsidRPr="00CF4C4E">
              <w:rPr>
                <w:sz w:val="20"/>
                <w:szCs w:val="20"/>
                <w:lang w:val="en-GB"/>
              </w:rPr>
              <w:t>Financed as part of regular activities of staff</w:t>
            </w:r>
          </w:p>
        </w:tc>
        <w:tc>
          <w:tcPr>
            <w:tcW w:w="500"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c>
          <w:tcPr>
            <w:tcW w:w="699"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r>
      <w:tr w:rsidR="00F77324" w:rsidRPr="00CF4C4E" w:rsidTr="002D69E2">
        <w:trPr>
          <w:trHeight w:val="140"/>
        </w:trPr>
        <w:tc>
          <w:tcPr>
            <w:tcW w:w="835" w:type="pct"/>
          </w:tcPr>
          <w:p w:rsidR="00F77324" w:rsidRPr="00CF4C4E" w:rsidRDefault="00F77324" w:rsidP="00CF4C4E">
            <w:pPr>
              <w:rPr>
                <w:sz w:val="20"/>
                <w:szCs w:val="20"/>
                <w:lang w:val="en-GB"/>
              </w:rPr>
            </w:pPr>
            <w:r w:rsidRPr="00CF4C4E">
              <w:rPr>
                <w:rFonts w:eastAsia="Times New Roman"/>
                <w:sz w:val="20"/>
                <w:szCs w:val="20"/>
                <w:lang w:val="en-GB"/>
              </w:rPr>
              <w:lastRenderedPageBreak/>
              <w:t>1.2.7 Work continuously and interactively with the private sector for a timely identification of new products and technologies that may be abused for ML or TF</w:t>
            </w:r>
          </w:p>
        </w:tc>
        <w:tc>
          <w:tcPr>
            <w:tcW w:w="399" w:type="pct"/>
          </w:tcPr>
          <w:p w:rsidR="00F77324" w:rsidRPr="00CF4C4E" w:rsidRDefault="00F77324" w:rsidP="00CF4C4E">
            <w:pPr>
              <w:rPr>
                <w:sz w:val="20"/>
                <w:szCs w:val="20"/>
                <w:lang w:val="en-GB"/>
              </w:rPr>
            </w:pPr>
            <w:r w:rsidRPr="00CF4C4E">
              <w:rPr>
                <w:sz w:val="20"/>
                <w:szCs w:val="20"/>
                <w:lang w:val="en-GB"/>
              </w:rPr>
              <w:t>APML</w:t>
            </w:r>
          </w:p>
        </w:tc>
        <w:tc>
          <w:tcPr>
            <w:tcW w:w="431" w:type="pct"/>
          </w:tcPr>
          <w:p w:rsidR="00F77324" w:rsidRPr="00CF4C4E" w:rsidRDefault="00F77324" w:rsidP="00CF4C4E">
            <w:pPr>
              <w:rPr>
                <w:sz w:val="20"/>
                <w:szCs w:val="20"/>
                <w:lang w:val="en-GB"/>
              </w:rPr>
            </w:pPr>
            <w:r w:rsidRPr="00CF4C4E">
              <w:rPr>
                <w:sz w:val="20"/>
                <w:szCs w:val="20"/>
                <w:lang w:val="en-GB"/>
              </w:rPr>
              <w:t>Supervisory authorities, AML/CFT CB, obliged entities, professional associations</w:t>
            </w:r>
          </w:p>
        </w:tc>
        <w:tc>
          <w:tcPr>
            <w:tcW w:w="404" w:type="pct"/>
          </w:tcPr>
          <w:p w:rsidR="00F77324" w:rsidRPr="00CF4C4E" w:rsidRDefault="00F77324" w:rsidP="00CF4C4E">
            <w:pPr>
              <w:rPr>
                <w:sz w:val="20"/>
                <w:szCs w:val="20"/>
                <w:lang w:val="en-GB"/>
              </w:rPr>
            </w:pPr>
            <w:r w:rsidRPr="00CF4C4E">
              <w:rPr>
                <w:sz w:val="20"/>
                <w:szCs w:val="20"/>
                <w:lang w:val="en-GB"/>
              </w:rPr>
              <w:t>IV quarter of 2022</w:t>
            </w:r>
          </w:p>
        </w:tc>
        <w:tc>
          <w:tcPr>
            <w:tcW w:w="548" w:type="pct"/>
          </w:tcPr>
          <w:p w:rsidR="00F77324" w:rsidRPr="00CF4C4E" w:rsidRDefault="00F77324" w:rsidP="00CF4C4E">
            <w:pPr>
              <w:rPr>
                <w:sz w:val="20"/>
                <w:szCs w:val="20"/>
                <w:lang w:val="en-GB"/>
              </w:rPr>
            </w:pPr>
            <w:r w:rsidRPr="00CF4C4E">
              <w:rPr>
                <w:sz w:val="20"/>
                <w:szCs w:val="20"/>
                <w:lang w:val="en-GB"/>
              </w:rPr>
              <w:t>Financed as part of regular activities of staff</w:t>
            </w:r>
          </w:p>
        </w:tc>
        <w:tc>
          <w:tcPr>
            <w:tcW w:w="500"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c>
          <w:tcPr>
            <w:tcW w:w="699"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r>
      <w:tr w:rsidR="00F77324" w:rsidRPr="00CF4C4E" w:rsidTr="00CF4C4E">
        <w:trPr>
          <w:trHeight w:val="1439"/>
        </w:trPr>
        <w:tc>
          <w:tcPr>
            <w:tcW w:w="835" w:type="pct"/>
          </w:tcPr>
          <w:p w:rsidR="00F77324" w:rsidRPr="00CF4C4E" w:rsidRDefault="00F77324" w:rsidP="00CF4C4E">
            <w:pPr>
              <w:rPr>
                <w:rFonts w:eastAsia="Times New Roman"/>
                <w:sz w:val="20"/>
                <w:szCs w:val="20"/>
                <w:lang w:val="en-GB"/>
              </w:rPr>
            </w:pPr>
            <w:r w:rsidRPr="00CF4C4E">
              <w:rPr>
                <w:rFonts w:eastAsia="Times New Roman"/>
                <w:sz w:val="20"/>
                <w:szCs w:val="20"/>
                <w:lang w:val="en-GB"/>
              </w:rPr>
              <w:t>1.2.8. Continuously inform AML/CFT authorities about new products and new technologies presenting ML or TF risk</w:t>
            </w:r>
          </w:p>
        </w:tc>
        <w:tc>
          <w:tcPr>
            <w:tcW w:w="399" w:type="pct"/>
          </w:tcPr>
          <w:p w:rsidR="00F77324" w:rsidRPr="00CF4C4E" w:rsidRDefault="00F77324" w:rsidP="00CF4C4E">
            <w:pPr>
              <w:rPr>
                <w:sz w:val="20"/>
                <w:szCs w:val="20"/>
                <w:lang w:val="en-GB"/>
              </w:rPr>
            </w:pPr>
            <w:r w:rsidRPr="00CF4C4E">
              <w:rPr>
                <w:rFonts w:eastAsia="Times New Roman"/>
                <w:sz w:val="20"/>
                <w:szCs w:val="20"/>
                <w:lang w:val="en-GB"/>
              </w:rPr>
              <w:t>APML</w:t>
            </w:r>
          </w:p>
        </w:tc>
        <w:tc>
          <w:tcPr>
            <w:tcW w:w="431" w:type="pct"/>
          </w:tcPr>
          <w:p w:rsidR="00F77324" w:rsidRPr="00CF4C4E" w:rsidRDefault="009E1129" w:rsidP="00CF4C4E">
            <w:pPr>
              <w:rPr>
                <w:sz w:val="20"/>
                <w:szCs w:val="20"/>
                <w:lang w:val="en-GB"/>
              </w:rPr>
            </w:pPr>
            <w:r w:rsidRPr="00CF4C4E">
              <w:rPr>
                <w:sz w:val="20"/>
                <w:szCs w:val="20"/>
                <w:lang w:val="en-GB"/>
              </w:rPr>
              <w:t>AML/CFT CB</w:t>
            </w:r>
            <w:r w:rsidRPr="00CF4C4E">
              <w:rPr>
                <w:sz w:val="20"/>
                <w:szCs w:val="20"/>
                <w:lang w:val="en-GB"/>
              </w:rPr>
              <w:tab/>
            </w:r>
          </w:p>
        </w:tc>
        <w:tc>
          <w:tcPr>
            <w:tcW w:w="404" w:type="pct"/>
          </w:tcPr>
          <w:p w:rsidR="00F77324" w:rsidRPr="00CF4C4E" w:rsidRDefault="00F77324" w:rsidP="00CF4C4E">
            <w:pPr>
              <w:rPr>
                <w:sz w:val="20"/>
                <w:szCs w:val="20"/>
                <w:lang w:val="en-GB"/>
              </w:rPr>
            </w:pPr>
            <w:r w:rsidRPr="00CF4C4E">
              <w:rPr>
                <w:sz w:val="20"/>
                <w:szCs w:val="20"/>
                <w:lang w:val="en-GB"/>
              </w:rPr>
              <w:t>IV quarter of 2022</w:t>
            </w:r>
          </w:p>
        </w:tc>
        <w:tc>
          <w:tcPr>
            <w:tcW w:w="548" w:type="pct"/>
          </w:tcPr>
          <w:p w:rsidR="00F77324" w:rsidRPr="00CF4C4E" w:rsidRDefault="00F77324" w:rsidP="00CF4C4E">
            <w:pPr>
              <w:rPr>
                <w:sz w:val="20"/>
                <w:szCs w:val="20"/>
                <w:lang w:val="en-GB"/>
              </w:rPr>
            </w:pPr>
            <w:r w:rsidRPr="00CF4C4E">
              <w:rPr>
                <w:sz w:val="20"/>
                <w:szCs w:val="20"/>
                <w:lang w:val="en-GB"/>
              </w:rPr>
              <w:t>Financed as part of regular activities of staff</w:t>
            </w:r>
          </w:p>
        </w:tc>
        <w:tc>
          <w:tcPr>
            <w:tcW w:w="500"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c>
          <w:tcPr>
            <w:tcW w:w="699"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r>
      <w:tr w:rsidR="00F77324" w:rsidRPr="00CF4C4E" w:rsidTr="002D69E2">
        <w:trPr>
          <w:trHeight w:val="140"/>
        </w:trPr>
        <w:tc>
          <w:tcPr>
            <w:tcW w:w="835" w:type="pct"/>
          </w:tcPr>
          <w:p w:rsidR="00F77324" w:rsidRPr="00CF4C4E" w:rsidRDefault="00B46C05" w:rsidP="00CF4C4E">
            <w:pPr>
              <w:rPr>
                <w:sz w:val="20"/>
                <w:szCs w:val="20"/>
                <w:lang w:val="en-GB"/>
              </w:rPr>
            </w:pPr>
            <w:r w:rsidRPr="00CF4C4E">
              <w:rPr>
                <w:sz w:val="20"/>
                <w:szCs w:val="20"/>
                <w:lang w:val="en-GB"/>
              </w:rPr>
              <w:t>1.2.9. Analyse regulations in a proactive manner from the point of view of potential risks they might pose for the AML/CFT system</w:t>
            </w:r>
          </w:p>
        </w:tc>
        <w:tc>
          <w:tcPr>
            <w:tcW w:w="399" w:type="pct"/>
          </w:tcPr>
          <w:p w:rsidR="00F77324" w:rsidRPr="00CF4C4E" w:rsidRDefault="009E1129" w:rsidP="00CF4C4E">
            <w:pPr>
              <w:rPr>
                <w:sz w:val="20"/>
                <w:szCs w:val="20"/>
                <w:lang w:val="en-GB"/>
              </w:rPr>
            </w:pPr>
            <w:r w:rsidRPr="00CF4C4E">
              <w:rPr>
                <w:sz w:val="20"/>
                <w:szCs w:val="20"/>
                <w:lang w:val="en-GB"/>
              </w:rPr>
              <w:t>AML/CFT CB</w:t>
            </w:r>
          </w:p>
        </w:tc>
        <w:tc>
          <w:tcPr>
            <w:tcW w:w="431" w:type="pct"/>
          </w:tcPr>
          <w:p w:rsidR="00F77324" w:rsidRPr="00CF4C4E" w:rsidRDefault="001626DC" w:rsidP="00CF4C4E">
            <w:pPr>
              <w:rPr>
                <w:sz w:val="20"/>
                <w:szCs w:val="20"/>
                <w:lang w:val="en-GB"/>
              </w:rPr>
            </w:pPr>
            <w:r w:rsidRPr="00CF4C4E">
              <w:rPr>
                <w:sz w:val="20"/>
                <w:szCs w:val="20"/>
                <w:lang w:val="en-GB"/>
              </w:rPr>
              <w:t>Relevant institutions and bodies</w:t>
            </w:r>
          </w:p>
        </w:tc>
        <w:tc>
          <w:tcPr>
            <w:tcW w:w="404" w:type="pct"/>
          </w:tcPr>
          <w:p w:rsidR="00F77324" w:rsidRPr="00CF4C4E" w:rsidRDefault="00F77324" w:rsidP="00CF4C4E">
            <w:pPr>
              <w:rPr>
                <w:sz w:val="20"/>
                <w:szCs w:val="20"/>
                <w:lang w:val="en-GB"/>
              </w:rPr>
            </w:pPr>
            <w:r w:rsidRPr="00CF4C4E">
              <w:rPr>
                <w:sz w:val="20"/>
                <w:szCs w:val="20"/>
                <w:lang w:val="en-GB"/>
              </w:rPr>
              <w:t>IV quarter of 2022</w:t>
            </w:r>
          </w:p>
        </w:tc>
        <w:tc>
          <w:tcPr>
            <w:tcW w:w="548" w:type="pct"/>
          </w:tcPr>
          <w:p w:rsidR="00F77324" w:rsidRPr="00CF4C4E" w:rsidRDefault="00F77324" w:rsidP="00CF4C4E">
            <w:pPr>
              <w:rPr>
                <w:sz w:val="20"/>
                <w:szCs w:val="20"/>
                <w:lang w:val="en-GB"/>
              </w:rPr>
            </w:pPr>
            <w:r w:rsidRPr="00CF4C4E">
              <w:rPr>
                <w:sz w:val="20"/>
                <w:szCs w:val="20"/>
                <w:lang w:val="en-GB"/>
              </w:rPr>
              <w:t>Financed as part of regular activities of staff</w:t>
            </w:r>
          </w:p>
        </w:tc>
        <w:tc>
          <w:tcPr>
            <w:tcW w:w="500"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c>
          <w:tcPr>
            <w:tcW w:w="699"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r>
      <w:tr w:rsidR="00F77324" w:rsidRPr="00CF4C4E" w:rsidTr="002D69E2">
        <w:trPr>
          <w:trHeight w:val="140"/>
        </w:trPr>
        <w:tc>
          <w:tcPr>
            <w:tcW w:w="835" w:type="pct"/>
          </w:tcPr>
          <w:p w:rsidR="00F77324" w:rsidRPr="00CF4C4E" w:rsidRDefault="00F77324" w:rsidP="00CF4C4E">
            <w:pPr>
              <w:rPr>
                <w:sz w:val="20"/>
                <w:szCs w:val="20"/>
                <w:lang w:val="en-GB"/>
              </w:rPr>
            </w:pPr>
            <w:r w:rsidRPr="00CF4C4E">
              <w:rPr>
                <w:sz w:val="20"/>
                <w:szCs w:val="20"/>
                <w:lang w:val="en-GB"/>
              </w:rPr>
              <w:t xml:space="preserve">1.2.10 Analyse the legal framework governing transportation of BNIs (AML/CFT Law, Law on FX Operations)  </w:t>
            </w:r>
          </w:p>
          <w:p w:rsidR="00DA0EC2" w:rsidRPr="00CF4C4E" w:rsidRDefault="00DA0EC2" w:rsidP="00CF4C4E">
            <w:pPr>
              <w:rPr>
                <w:sz w:val="20"/>
                <w:szCs w:val="20"/>
                <w:lang w:val="en-GB"/>
              </w:rPr>
            </w:pPr>
          </w:p>
        </w:tc>
        <w:tc>
          <w:tcPr>
            <w:tcW w:w="399" w:type="pct"/>
          </w:tcPr>
          <w:p w:rsidR="00F77324" w:rsidRPr="00CF4C4E" w:rsidRDefault="00F77324" w:rsidP="00CF4C4E">
            <w:pPr>
              <w:rPr>
                <w:sz w:val="20"/>
                <w:szCs w:val="20"/>
                <w:lang w:val="en-GB"/>
              </w:rPr>
            </w:pPr>
            <w:r w:rsidRPr="00CF4C4E">
              <w:rPr>
                <w:sz w:val="20"/>
                <w:szCs w:val="20"/>
                <w:lang w:val="en-GB"/>
              </w:rPr>
              <w:t>APML</w:t>
            </w:r>
          </w:p>
        </w:tc>
        <w:tc>
          <w:tcPr>
            <w:tcW w:w="431" w:type="pct"/>
          </w:tcPr>
          <w:p w:rsidR="00F77324" w:rsidRPr="00CF4C4E" w:rsidRDefault="00F77324" w:rsidP="00CF4C4E">
            <w:pPr>
              <w:rPr>
                <w:sz w:val="20"/>
                <w:szCs w:val="20"/>
                <w:lang w:val="en-GB"/>
              </w:rPr>
            </w:pPr>
            <w:r w:rsidRPr="00CF4C4E">
              <w:rPr>
                <w:sz w:val="20"/>
                <w:szCs w:val="20"/>
                <w:lang w:val="en-GB"/>
              </w:rPr>
              <w:t>NBS, CA, MoI, competent court and prosecutor’s office</w:t>
            </w:r>
          </w:p>
        </w:tc>
        <w:tc>
          <w:tcPr>
            <w:tcW w:w="404" w:type="pct"/>
          </w:tcPr>
          <w:p w:rsidR="00F77324" w:rsidRPr="00CF4C4E" w:rsidRDefault="00F77324" w:rsidP="00CF4C4E">
            <w:pPr>
              <w:rPr>
                <w:color w:val="FF0000"/>
                <w:sz w:val="20"/>
                <w:szCs w:val="20"/>
                <w:lang w:val="en-GB"/>
              </w:rPr>
            </w:pPr>
            <w:r w:rsidRPr="00CF4C4E">
              <w:rPr>
                <w:sz w:val="20"/>
                <w:szCs w:val="20"/>
                <w:lang w:val="en-GB"/>
              </w:rPr>
              <w:t>IV quarter of 2020</w:t>
            </w:r>
          </w:p>
        </w:tc>
        <w:tc>
          <w:tcPr>
            <w:tcW w:w="548" w:type="pct"/>
          </w:tcPr>
          <w:p w:rsidR="00F77324" w:rsidRPr="00CF4C4E" w:rsidRDefault="00F77324" w:rsidP="00CF4C4E">
            <w:pPr>
              <w:rPr>
                <w:sz w:val="20"/>
                <w:szCs w:val="20"/>
                <w:lang w:val="en-GB"/>
              </w:rPr>
            </w:pPr>
            <w:r w:rsidRPr="00CF4C4E">
              <w:rPr>
                <w:sz w:val="20"/>
                <w:szCs w:val="20"/>
                <w:lang w:val="en-GB"/>
              </w:rPr>
              <w:t>Financed as part of regular activities of staff</w:t>
            </w:r>
          </w:p>
        </w:tc>
        <w:tc>
          <w:tcPr>
            <w:tcW w:w="500"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c>
          <w:tcPr>
            <w:tcW w:w="699"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r>
      <w:tr w:rsidR="001821C4" w:rsidRPr="00CF4C4E" w:rsidTr="002D69E2">
        <w:trPr>
          <w:trHeight w:val="140"/>
        </w:trPr>
        <w:tc>
          <w:tcPr>
            <w:tcW w:w="835" w:type="pct"/>
          </w:tcPr>
          <w:p w:rsidR="001821C4" w:rsidRPr="00CF4C4E" w:rsidRDefault="001821C4" w:rsidP="00CF4C4E">
            <w:pPr>
              <w:rPr>
                <w:sz w:val="20"/>
                <w:szCs w:val="20"/>
                <w:lang w:val="en-GB"/>
              </w:rPr>
            </w:pPr>
            <w:r w:rsidRPr="00CF4C4E">
              <w:rPr>
                <w:sz w:val="20"/>
                <w:szCs w:val="20"/>
                <w:lang w:val="en-GB"/>
              </w:rPr>
              <w:t>1.2.11. Amend the normative framework, as required, in accordance with the findings of the analysis under activity 1.2.10.</w:t>
            </w:r>
          </w:p>
        </w:tc>
        <w:tc>
          <w:tcPr>
            <w:tcW w:w="399" w:type="pct"/>
          </w:tcPr>
          <w:p w:rsidR="001821C4" w:rsidRPr="00CF4C4E" w:rsidRDefault="001821C4" w:rsidP="00CF4C4E">
            <w:pPr>
              <w:rPr>
                <w:sz w:val="20"/>
                <w:szCs w:val="20"/>
                <w:lang w:val="en-GB"/>
              </w:rPr>
            </w:pPr>
            <w:r w:rsidRPr="00CF4C4E">
              <w:rPr>
                <w:sz w:val="20"/>
                <w:szCs w:val="20"/>
                <w:lang w:val="en-GB"/>
              </w:rPr>
              <w:t>APML</w:t>
            </w:r>
          </w:p>
        </w:tc>
        <w:tc>
          <w:tcPr>
            <w:tcW w:w="431" w:type="pct"/>
          </w:tcPr>
          <w:p w:rsidR="001821C4" w:rsidRPr="00CF4C4E" w:rsidRDefault="001821C4" w:rsidP="00CF4C4E">
            <w:pPr>
              <w:rPr>
                <w:sz w:val="20"/>
                <w:szCs w:val="20"/>
                <w:lang w:val="en-GB"/>
              </w:rPr>
            </w:pPr>
            <w:r w:rsidRPr="00CF4C4E">
              <w:rPr>
                <w:sz w:val="20"/>
                <w:szCs w:val="20"/>
                <w:lang w:val="en-GB"/>
              </w:rPr>
              <w:t>National Bank of Serbia</w:t>
            </w:r>
          </w:p>
        </w:tc>
        <w:tc>
          <w:tcPr>
            <w:tcW w:w="404" w:type="pct"/>
          </w:tcPr>
          <w:p w:rsidR="001821C4" w:rsidRPr="00CF4C4E" w:rsidRDefault="001821C4" w:rsidP="00CF4C4E">
            <w:pPr>
              <w:rPr>
                <w:sz w:val="20"/>
                <w:szCs w:val="20"/>
                <w:lang w:val="en-GB"/>
              </w:rPr>
            </w:pPr>
            <w:r w:rsidRPr="00CF4C4E">
              <w:rPr>
                <w:sz w:val="20"/>
                <w:szCs w:val="20"/>
                <w:lang w:val="en-GB"/>
              </w:rPr>
              <w:t>IV quarter of 2022</w:t>
            </w:r>
          </w:p>
        </w:tc>
        <w:tc>
          <w:tcPr>
            <w:tcW w:w="548" w:type="pct"/>
          </w:tcPr>
          <w:p w:rsidR="001821C4" w:rsidRPr="00CF4C4E" w:rsidRDefault="001821C4" w:rsidP="00CF4C4E">
            <w:pPr>
              <w:rPr>
                <w:sz w:val="20"/>
                <w:szCs w:val="20"/>
                <w:lang w:val="en-GB"/>
              </w:rPr>
            </w:pPr>
            <w:r w:rsidRPr="00CF4C4E">
              <w:rPr>
                <w:sz w:val="20"/>
                <w:szCs w:val="20"/>
                <w:lang w:val="en-GB"/>
              </w:rPr>
              <w:t>Financed as part of regular activities of staff</w:t>
            </w:r>
          </w:p>
          <w:p w:rsidR="00F010BF" w:rsidRPr="00CF4C4E" w:rsidRDefault="00F010BF" w:rsidP="00CF4C4E">
            <w:pPr>
              <w:rPr>
                <w:sz w:val="20"/>
                <w:szCs w:val="20"/>
                <w:lang w:val="en-GB"/>
              </w:rPr>
            </w:pPr>
          </w:p>
          <w:p w:rsidR="00F010BF" w:rsidRPr="00CF4C4E" w:rsidRDefault="00F010BF" w:rsidP="00CF4C4E">
            <w:pPr>
              <w:rPr>
                <w:sz w:val="20"/>
                <w:szCs w:val="20"/>
                <w:lang w:val="en-GB"/>
              </w:rPr>
            </w:pPr>
          </w:p>
        </w:tc>
        <w:tc>
          <w:tcPr>
            <w:tcW w:w="500" w:type="pct"/>
          </w:tcPr>
          <w:p w:rsidR="001821C4" w:rsidRPr="00CF4C4E" w:rsidRDefault="001821C4" w:rsidP="00CF4C4E">
            <w:pPr>
              <w:rPr>
                <w:sz w:val="20"/>
                <w:szCs w:val="20"/>
                <w:lang w:val="en-GB"/>
              </w:rPr>
            </w:pPr>
          </w:p>
        </w:tc>
        <w:tc>
          <w:tcPr>
            <w:tcW w:w="592" w:type="pct"/>
          </w:tcPr>
          <w:p w:rsidR="001821C4" w:rsidRPr="00CF4C4E" w:rsidRDefault="001821C4" w:rsidP="00CF4C4E">
            <w:pPr>
              <w:rPr>
                <w:sz w:val="20"/>
                <w:szCs w:val="20"/>
                <w:lang w:val="en-GB"/>
              </w:rPr>
            </w:pPr>
          </w:p>
        </w:tc>
        <w:tc>
          <w:tcPr>
            <w:tcW w:w="699" w:type="pct"/>
          </w:tcPr>
          <w:p w:rsidR="001821C4" w:rsidRPr="00CF4C4E" w:rsidRDefault="001821C4" w:rsidP="00CF4C4E">
            <w:pPr>
              <w:rPr>
                <w:sz w:val="20"/>
                <w:szCs w:val="20"/>
                <w:lang w:val="en-GB"/>
              </w:rPr>
            </w:pPr>
          </w:p>
        </w:tc>
        <w:tc>
          <w:tcPr>
            <w:tcW w:w="592" w:type="pct"/>
          </w:tcPr>
          <w:p w:rsidR="001821C4" w:rsidRPr="00CF4C4E" w:rsidRDefault="001821C4" w:rsidP="00CF4C4E">
            <w:pPr>
              <w:rPr>
                <w:sz w:val="20"/>
                <w:szCs w:val="20"/>
                <w:lang w:val="en-GB"/>
              </w:rPr>
            </w:pPr>
          </w:p>
        </w:tc>
      </w:tr>
      <w:tr w:rsidR="00F77324" w:rsidRPr="00CF4C4E" w:rsidTr="002D69E2">
        <w:trPr>
          <w:trHeight w:val="140"/>
        </w:trPr>
        <w:tc>
          <w:tcPr>
            <w:tcW w:w="835" w:type="pct"/>
          </w:tcPr>
          <w:p w:rsidR="00F77324" w:rsidRPr="00CF4C4E" w:rsidRDefault="00F77324" w:rsidP="00CF4C4E">
            <w:pPr>
              <w:rPr>
                <w:sz w:val="20"/>
                <w:szCs w:val="20"/>
                <w:lang w:val="en-GB"/>
              </w:rPr>
            </w:pPr>
            <w:r w:rsidRPr="00CF4C4E">
              <w:rPr>
                <w:sz w:val="20"/>
                <w:szCs w:val="20"/>
                <w:lang w:val="en-GB"/>
              </w:rPr>
              <w:t xml:space="preserve">1.2.12 Establish a Single register of remittance </w:t>
            </w:r>
            <w:r w:rsidRPr="00CF4C4E">
              <w:rPr>
                <w:sz w:val="20"/>
                <w:szCs w:val="20"/>
                <w:lang w:val="en-GB"/>
              </w:rPr>
              <w:lastRenderedPageBreak/>
              <w:t>beneficiaries</w:t>
            </w:r>
          </w:p>
        </w:tc>
        <w:tc>
          <w:tcPr>
            <w:tcW w:w="399" w:type="pct"/>
          </w:tcPr>
          <w:p w:rsidR="00F77324" w:rsidRPr="00CF4C4E" w:rsidRDefault="00F77324" w:rsidP="00CF4C4E">
            <w:pPr>
              <w:rPr>
                <w:sz w:val="20"/>
                <w:szCs w:val="20"/>
                <w:lang w:val="en-GB"/>
              </w:rPr>
            </w:pPr>
            <w:r w:rsidRPr="00CF4C4E">
              <w:rPr>
                <w:sz w:val="20"/>
                <w:szCs w:val="20"/>
                <w:lang w:val="en-GB"/>
              </w:rPr>
              <w:lastRenderedPageBreak/>
              <w:t xml:space="preserve">National Bank of </w:t>
            </w:r>
            <w:r w:rsidRPr="00CF4C4E">
              <w:rPr>
                <w:sz w:val="20"/>
                <w:szCs w:val="20"/>
                <w:lang w:val="en-GB"/>
              </w:rPr>
              <w:lastRenderedPageBreak/>
              <w:t>Serbia</w:t>
            </w:r>
          </w:p>
        </w:tc>
        <w:tc>
          <w:tcPr>
            <w:tcW w:w="431" w:type="pct"/>
          </w:tcPr>
          <w:p w:rsidR="00F77324" w:rsidRPr="00CF4C4E" w:rsidRDefault="00F77324" w:rsidP="00CF4C4E">
            <w:pPr>
              <w:rPr>
                <w:sz w:val="20"/>
                <w:szCs w:val="20"/>
                <w:lang w:val="en-GB"/>
              </w:rPr>
            </w:pPr>
          </w:p>
        </w:tc>
        <w:tc>
          <w:tcPr>
            <w:tcW w:w="404" w:type="pct"/>
          </w:tcPr>
          <w:p w:rsidR="00F77324" w:rsidRPr="00CF4C4E" w:rsidRDefault="00F010BF" w:rsidP="00CF4C4E">
            <w:pPr>
              <w:rPr>
                <w:sz w:val="20"/>
                <w:szCs w:val="20"/>
                <w:lang w:val="en-GB"/>
              </w:rPr>
            </w:pPr>
            <w:r w:rsidRPr="00CF4C4E">
              <w:rPr>
                <w:sz w:val="20"/>
                <w:szCs w:val="20"/>
                <w:lang w:val="en-GB"/>
              </w:rPr>
              <w:t>II quarter of 2020</w:t>
            </w:r>
          </w:p>
        </w:tc>
        <w:tc>
          <w:tcPr>
            <w:tcW w:w="548" w:type="pct"/>
          </w:tcPr>
          <w:p w:rsidR="00F77324" w:rsidRPr="00CF4C4E" w:rsidRDefault="00F77324" w:rsidP="00CF4C4E">
            <w:pPr>
              <w:rPr>
                <w:sz w:val="20"/>
                <w:szCs w:val="20"/>
                <w:lang w:val="en-GB"/>
              </w:rPr>
            </w:pPr>
            <w:r w:rsidRPr="00CF4C4E">
              <w:rPr>
                <w:sz w:val="20"/>
                <w:szCs w:val="20"/>
                <w:lang w:val="en-GB"/>
              </w:rPr>
              <w:t xml:space="preserve">Financed as part of regular </w:t>
            </w:r>
            <w:r w:rsidRPr="00CF4C4E">
              <w:rPr>
                <w:sz w:val="20"/>
                <w:szCs w:val="20"/>
                <w:lang w:val="en-GB"/>
              </w:rPr>
              <w:lastRenderedPageBreak/>
              <w:t>activities of staff</w:t>
            </w:r>
          </w:p>
        </w:tc>
        <w:tc>
          <w:tcPr>
            <w:tcW w:w="500"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c>
          <w:tcPr>
            <w:tcW w:w="699"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r>
      <w:tr w:rsidR="00F77324" w:rsidRPr="00CF4C4E" w:rsidTr="002D69E2">
        <w:trPr>
          <w:trHeight w:val="140"/>
        </w:trPr>
        <w:tc>
          <w:tcPr>
            <w:tcW w:w="835" w:type="pct"/>
          </w:tcPr>
          <w:p w:rsidR="00F77324" w:rsidRPr="00CF4C4E" w:rsidRDefault="00F77324" w:rsidP="00CF4C4E">
            <w:pPr>
              <w:rPr>
                <w:sz w:val="20"/>
                <w:szCs w:val="20"/>
                <w:lang w:val="en-GB"/>
              </w:rPr>
            </w:pPr>
            <w:r w:rsidRPr="00CF4C4E">
              <w:rPr>
                <w:sz w:val="20"/>
                <w:szCs w:val="20"/>
                <w:lang w:val="en-GB"/>
              </w:rPr>
              <w:lastRenderedPageBreak/>
              <w:t>1.2.13 Periodically analyse the functionalities of the Single register of remittance beneficiaries and introduce new measures as appropriate.</w:t>
            </w:r>
          </w:p>
        </w:tc>
        <w:tc>
          <w:tcPr>
            <w:tcW w:w="399" w:type="pct"/>
          </w:tcPr>
          <w:p w:rsidR="00F77324" w:rsidRPr="00CF4C4E" w:rsidRDefault="00F77324" w:rsidP="00CF4C4E">
            <w:pPr>
              <w:rPr>
                <w:sz w:val="20"/>
                <w:szCs w:val="20"/>
                <w:lang w:val="en-GB"/>
              </w:rPr>
            </w:pPr>
            <w:r w:rsidRPr="00CF4C4E">
              <w:rPr>
                <w:sz w:val="20"/>
                <w:szCs w:val="20"/>
                <w:lang w:val="en-GB"/>
              </w:rPr>
              <w:t>National Bank of Serbia</w:t>
            </w:r>
          </w:p>
        </w:tc>
        <w:tc>
          <w:tcPr>
            <w:tcW w:w="431" w:type="pct"/>
          </w:tcPr>
          <w:p w:rsidR="00F77324" w:rsidRPr="00CF4C4E" w:rsidRDefault="00F77324" w:rsidP="00CF4C4E">
            <w:pPr>
              <w:rPr>
                <w:sz w:val="20"/>
                <w:szCs w:val="20"/>
                <w:lang w:val="en-GB"/>
              </w:rPr>
            </w:pPr>
          </w:p>
        </w:tc>
        <w:tc>
          <w:tcPr>
            <w:tcW w:w="404" w:type="pct"/>
          </w:tcPr>
          <w:p w:rsidR="00F77324" w:rsidRPr="00CF4C4E" w:rsidRDefault="00F77324" w:rsidP="00CF4C4E">
            <w:pPr>
              <w:rPr>
                <w:sz w:val="20"/>
                <w:szCs w:val="20"/>
                <w:lang w:val="en-GB"/>
              </w:rPr>
            </w:pPr>
            <w:r w:rsidRPr="00CF4C4E">
              <w:rPr>
                <w:sz w:val="20"/>
                <w:szCs w:val="20"/>
                <w:lang w:val="en-GB"/>
              </w:rPr>
              <w:t>IV quarter of 2022</w:t>
            </w:r>
          </w:p>
        </w:tc>
        <w:tc>
          <w:tcPr>
            <w:tcW w:w="548" w:type="pct"/>
          </w:tcPr>
          <w:p w:rsidR="00F77324" w:rsidRPr="00CF4C4E" w:rsidRDefault="00F77324" w:rsidP="00CF4C4E">
            <w:pPr>
              <w:rPr>
                <w:sz w:val="20"/>
                <w:szCs w:val="20"/>
                <w:lang w:val="en-GB"/>
              </w:rPr>
            </w:pPr>
            <w:r w:rsidRPr="00CF4C4E">
              <w:rPr>
                <w:sz w:val="20"/>
                <w:szCs w:val="20"/>
                <w:lang w:val="en-GB"/>
              </w:rPr>
              <w:t>Financed as part of regular activities of staff</w:t>
            </w:r>
          </w:p>
        </w:tc>
        <w:tc>
          <w:tcPr>
            <w:tcW w:w="500"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c>
          <w:tcPr>
            <w:tcW w:w="699"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r>
      <w:tr w:rsidR="00F77324" w:rsidRPr="00CF4C4E" w:rsidTr="002D69E2">
        <w:trPr>
          <w:trHeight w:val="140"/>
        </w:trPr>
        <w:tc>
          <w:tcPr>
            <w:tcW w:w="835" w:type="pct"/>
          </w:tcPr>
          <w:p w:rsidR="00F77324" w:rsidRPr="00CF4C4E" w:rsidRDefault="00F77324" w:rsidP="00CF4C4E">
            <w:pPr>
              <w:rPr>
                <w:sz w:val="20"/>
                <w:szCs w:val="20"/>
                <w:lang w:val="en-GB"/>
              </w:rPr>
            </w:pPr>
            <w:r w:rsidRPr="00CF4C4E">
              <w:rPr>
                <w:sz w:val="20"/>
                <w:szCs w:val="20"/>
                <w:lang w:val="en-GB"/>
              </w:rPr>
              <w:t>1.2.14 Establish a Single register of safe-deposit boxes</w:t>
            </w:r>
          </w:p>
        </w:tc>
        <w:tc>
          <w:tcPr>
            <w:tcW w:w="399" w:type="pct"/>
          </w:tcPr>
          <w:p w:rsidR="00F77324" w:rsidRPr="00CF4C4E" w:rsidRDefault="00F77324" w:rsidP="00CF4C4E">
            <w:pPr>
              <w:rPr>
                <w:sz w:val="20"/>
                <w:szCs w:val="20"/>
                <w:lang w:val="en-GB"/>
              </w:rPr>
            </w:pPr>
            <w:r w:rsidRPr="00CF4C4E">
              <w:rPr>
                <w:sz w:val="20"/>
                <w:szCs w:val="20"/>
                <w:lang w:val="en-GB"/>
              </w:rPr>
              <w:t>National Bank of Serbia</w:t>
            </w:r>
          </w:p>
        </w:tc>
        <w:tc>
          <w:tcPr>
            <w:tcW w:w="431" w:type="pct"/>
          </w:tcPr>
          <w:p w:rsidR="00F77324" w:rsidRPr="00CF4C4E" w:rsidRDefault="00F77324" w:rsidP="00CF4C4E">
            <w:pPr>
              <w:rPr>
                <w:sz w:val="20"/>
                <w:szCs w:val="20"/>
                <w:lang w:val="en-GB"/>
              </w:rPr>
            </w:pPr>
          </w:p>
        </w:tc>
        <w:tc>
          <w:tcPr>
            <w:tcW w:w="404" w:type="pct"/>
          </w:tcPr>
          <w:p w:rsidR="00F77324" w:rsidRPr="00CF4C4E" w:rsidRDefault="00F77324" w:rsidP="00CF4C4E">
            <w:pPr>
              <w:rPr>
                <w:sz w:val="20"/>
                <w:szCs w:val="20"/>
                <w:lang w:val="en-GB"/>
              </w:rPr>
            </w:pPr>
            <w:r w:rsidRPr="00CF4C4E">
              <w:rPr>
                <w:sz w:val="20"/>
                <w:szCs w:val="20"/>
                <w:lang w:val="en-GB"/>
              </w:rPr>
              <w:t>II quarter of 2020</w:t>
            </w:r>
          </w:p>
        </w:tc>
        <w:tc>
          <w:tcPr>
            <w:tcW w:w="548" w:type="pct"/>
          </w:tcPr>
          <w:p w:rsidR="00F77324" w:rsidRPr="00CF4C4E" w:rsidRDefault="00F77324" w:rsidP="00CF4C4E">
            <w:pPr>
              <w:rPr>
                <w:sz w:val="20"/>
                <w:szCs w:val="20"/>
                <w:lang w:val="en-GB"/>
              </w:rPr>
            </w:pPr>
            <w:r w:rsidRPr="00CF4C4E">
              <w:rPr>
                <w:sz w:val="20"/>
                <w:szCs w:val="20"/>
                <w:lang w:val="en-GB"/>
              </w:rPr>
              <w:t>Financed as part of regular activities of staff</w:t>
            </w:r>
          </w:p>
        </w:tc>
        <w:tc>
          <w:tcPr>
            <w:tcW w:w="500"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c>
          <w:tcPr>
            <w:tcW w:w="699"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r>
      <w:tr w:rsidR="00F77324" w:rsidRPr="00CF4C4E" w:rsidTr="002D69E2">
        <w:trPr>
          <w:trHeight w:val="140"/>
        </w:trPr>
        <w:tc>
          <w:tcPr>
            <w:tcW w:w="835" w:type="pct"/>
          </w:tcPr>
          <w:p w:rsidR="00F77324" w:rsidRPr="00CF4C4E" w:rsidRDefault="00F77324" w:rsidP="00CF4C4E">
            <w:pPr>
              <w:rPr>
                <w:sz w:val="20"/>
                <w:szCs w:val="20"/>
                <w:lang w:val="en-GB"/>
              </w:rPr>
            </w:pPr>
            <w:r w:rsidRPr="00CF4C4E">
              <w:rPr>
                <w:sz w:val="20"/>
                <w:szCs w:val="20"/>
                <w:lang w:val="en-GB"/>
              </w:rPr>
              <w:t>1.2.15 Continuously inform all relevant AML/CFT stakeholders about publicly available databases</w:t>
            </w:r>
          </w:p>
        </w:tc>
        <w:tc>
          <w:tcPr>
            <w:tcW w:w="399" w:type="pct"/>
          </w:tcPr>
          <w:p w:rsidR="00F77324" w:rsidRPr="00CF4C4E" w:rsidRDefault="009E1129" w:rsidP="00CF4C4E">
            <w:pPr>
              <w:rPr>
                <w:sz w:val="20"/>
                <w:szCs w:val="20"/>
                <w:lang w:val="en-GB"/>
              </w:rPr>
            </w:pPr>
            <w:r w:rsidRPr="00CF4C4E">
              <w:rPr>
                <w:sz w:val="20"/>
                <w:szCs w:val="20"/>
                <w:lang w:val="en-GB"/>
              </w:rPr>
              <w:t>AML/CFT CB</w:t>
            </w:r>
          </w:p>
        </w:tc>
        <w:tc>
          <w:tcPr>
            <w:tcW w:w="431" w:type="pct"/>
          </w:tcPr>
          <w:p w:rsidR="00F77324" w:rsidRPr="00CF4C4E" w:rsidRDefault="00F77324" w:rsidP="00CF4C4E">
            <w:pPr>
              <w:rPr>
                <w:sz w:val="20"/>
                <w:szCs w:val="20"/>
                <w:lang w:val="en-GB"/>
              </w:rPr>
            </w:pPr>
          </w:p>
        </w:tc>
        <w:tc>
          <w:tcPr>
            <w:tcW w:w="404" w:type="pct"/>
          </w:tcPr>
          <w:p w:rsidR="00F77324" w:rsidRPr="00CF4C4E" w:rsidRDefault="00F77324" w:rsidP="00CF4C4E">
            <w:pPr>
              <w:rPr>
                <w:sz w:val="20"/>
                <w:szCs w:val="20"/>
                <w:lang w:val="en-GB"/>
              </w:rPr>
            </w:pPr>
            <w:r w:rsidRPr="00CF4C4E">
              <w:rPr>
                <w:sz w:val="20"/>
                <w:szCs w:val="20"/>
                <w:lang w:val="en-GB"/>
              </w:rPr>
              <w:t>IV quarter of 2022</w:t>
            </w:r>
          </w:p>
          <w:p w:rsidR="00F010BF" w:rsidRPr="00CF4C4E" w:rsidRDefault="00F010BF" w:rsidP="00CF4C4E">
            <w:pPr>
              <w:rPr>
                <w:sz w:val="20"/>
                <w:szCs w:val="20"/>
                <w:lang w:val="en-GB"/>
              </w:rPr>
            </w:pPr>
          </w:p>
          <w:p w:rsidR="00F010BF" w:rsidRPr="00CF4C4E" w:rsidRDefault="00F010BF" w:rsidP="00CF4C4E">
            <w:pPr>
              <w:rPr>
                <w:sz w:val="20"/>
                <w:szCs w:val="20"/>
                <w:lang w:val="en-GB"/>
              </w:rPr>
            </w:pPr>
          </w:p>
        </w:tc>
        <w:tc>
          <w:tcPr>
            <w:tcW w:w="548" w:type="pct"/>
          </w:tcPr>
          <w:p w:rsidR="00F77324" w:rsidRPr="00CF4C4E" w:rsidRDefault="00F77324" w:rsidP="00CF4C4E">
            <w:pPr>
              <w:rPr>
                <w:sz w:val="20"/>
                <w:szCs w:val="20"/>
                <w:lang w:val="en-GB"/>
              </w:rPr>
            </w:pPr>
            <w:r w:rsidRPr="00CF4C4E">
              <w:rPr>
                <w:sz w:val="20"/>
                <w:szCs w:val="20"/>
                <w:lang w:val="en-GB"/>
              </w:rPr>
              <w:t>Financed as part of regular activities of staff</w:t>
            </w:r>
          </w:p>
        </w:tc>
        <w:tc>
          <w:tcPr>
            <w:tcW w:w="500"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c>
          <w:tcPr>
            <w:tcW w:w="699"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r>
      <w:tr w:rsidR="00F77324" w:rsidRPr="00CF4C4E" w:rsidTr="002D69E2">
        <w:trPr>
          <w:trHeight w:val="140"/>
        </w:trPr>
        <w:tc>
          <w:tcPr>
            <w:tcW w:w="835" w:type="pct"/>
          </w:tcPr>
          <w:p w:rsidR="00F77324" w:rsidRPr="00CF4C4E" w:rsidRDefault="00F77324" w:rsidP="00CF4C4E">
            <w:pPr>
              <w:rPr>
                <w:sz w:val="20"/>
                <w:szCs w:val="20"/>
                <w:lang w:val="en-GB"/>
              </w:rPr>
            </w:pPr>
            <w:r w:rsidRPr="00CF4C4E">
              <w:rPr>
                <w:sz w:val="20"/>
                <w:szCs w:val="20"/>
                <w:lang w:val="en-GB"/>
              </w:rPr>
              <w:t xml:space="preserve">1.2.16 At least once a year, compare NRA findings and supervisors’ examination reports in order to assess the level of obliged entities’ understanding of risk </w:t>
            </w:r>
          </w:p>
        </w:tc>
        <w:tc>
          <w:tcPr>
            <w:tcW w:w="399" w:type="pct"/>
          </w:tcPr>
          <w:p w:rsidR="00F77324" w:rsidRPr="00CF4C4E" w:rsidRDefault="009E1129" w:rsidP="00CF4C4E">
            <w:pPr>
              <w:rPr>
                <w:sz w:val="20"/>
                <w:szCs w:val="20"/>
                <w:lang w:val="en-GB"/>
              </w:rPr>
            </w:pPr>
            <w:r w:rsidRPr="00CF4C4E">
              <w:rPr>
                <w:sz w:val="20"/>
                <w:szCs w:val="20"/>
                <w:lang w:val="en-GB"/>
              </w:rPr>
              <w:t>AML/CFT CB</w:t>
            </w:r>
          </w:p>
        </w:tc>
        <w:tc>
          <w:tcPr>
            <w:tcW w:w="431" w:type="pct"/>
          </w:tcPr>
          <w:p w:rsidR="00F77324" w:rsidRPr="00CF4C4E" w:rsidRDefault="00F77324" w:rsidP="00CF4C4E">
            <w:pPr>
              <w:rPr>
                <w:sz w:val="20"/>
                <w:szCs w:val="20"/>
                <w:lang w:val="en-GB"/>
              </w:rPr>
            </w:pPr>
            <w:r w:rsidRPr="00CF4C4E">
              <w:rPr>
                <w:sz w:val="20"/>
                <w:szCs w:val="20"/>
                <w:lang w:val="en-GB"/>
              </w:rPr>
              <w:t>Supervisory authorities</w:t>
            </w:r>
          </w:p>
        </w:tc>
        <w:tc>
          <w:tcPr>
            <w:tcW w:w="404" w:type="pct"/>
          </w:tcPr>
          <w:p w:rsidR="00F77324" w:rsidRPr="00CF4C4E" w:rsidRDefault="00F77324" w:rsidP="00CF4C4E">
            <w:pPr>
              <w:rPr>
                <w:sz w:val="20"/>
                <w:szCs w:val="20"/>
                <w:lang w:val="en-GB"/>
              </w:rPr>
            </w:pPr>
            <w:r w:rsidRPr="00CF4C4E">
              <w:rPr>
                <w:sz w:val="20"/>
                <w:szCs w:val="20"/>
                <w:lang w:val="en-GB"/>
              </w:rPr>
              <w:t>IV quarter of 2022</w:t>
            </w:r>
          </w:p>
        </w:tc>
        <w:tc>
          <w:tcPr>
            <w:tcW w:w="548" w:type="pct"/>
          </w:tcPr>
          <w:p w:rsidR="00F77324" w:rsidRPr="00CF4C4E" w:rsidRDefault="00F77324" w:rsidP="00CF4C4E">
            <w:pPr>
              <w:rPr>
                <w:sz w:val="20"/>
                <w:szCs w:val="20"/>
                <w:lang w:val="en-GB"/>
              </w:rPr>
            </w:pPr>
            <w:r w:rsidRPr="00CF4C4E">
              <w:rPr>
                <w:sz w:val="20"/>
                <w:szCs w:val="20"/>
                <w:lang w:val="en-GB"/>
              </w:rPr>
              <w:t>Financed as part of regular activities of staff</w:t>
            </w:r>
          </w:p>
        </w:tc>
        <w:tc>
          <w:tcPr>
            <w:tcW w:w="500"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c>
          <w:tcPr>
            <w:tcW w:w="699"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r>
      <w:tr w:rsidR="00F77324" w:rsidRPr="00CF4C4E" w:rsidTr="002D69E2">
        <w:trPr>
          <w:trHeight w:val="140"/>
        </w:trPr>
        <w:tc>
          <w:tcPr>
            <w:tcW w:w="835" w:type="pct"/>
          </w:tcPr>
          <w:p w:rsidR="00F77324" w:rsidRPr="00CF4C4E" w:rsidRDefault="00F77324" w:rsidP="00CF4C4E">
            <w:pPr>
              <w:rPr>
                <w:sz w:val="20"/>
                <w:szCs w:val="20"/>
                <w:lang w:val="en-GB"/>
              </w:rPr>
            </w:pPr>
            <w:r w:rsidRPr="00CF4C4E">
              <w:rPr>
                <w:sz w:val="20"/>
                <w:szCs w:val="20"/>
                <w:lang w:val="en-GB"/>
              </w:rPr>
              <w:t xml:space="preserve">1.2.17. Continuously review the quality of risk analyses conducted by obliged entities in line with Article 6 of the AML/CFT Law </w:t>
            </w:r>
          </w:p>
        </w:tc>
        <w:tc>
          <w:tcPr>
            <w:tcW w:w="399" w:type="pct"/>
          </w:tcPr>
          <w:p w:rsidR="00F77324" w:rsidRPr="00CF4C4E" w:rsidRDefault="00F77324" w:rsidP="00CF4C4E">
            <w:pPr>
              <w:rPr>
                <w:sz w:val="20"/>
                <w:szCs w:val="20"/>
                <w:lang w:val="en-GB"/>
              </w:rPr>
            </w:pPr>
            <w:r w:rsidRPr="00CF4C4E">
              <w:rPr>
                <w:sz w:val="20"/>
                <w:szCs w:val="20"/>
                <w:lang w:val="en-GB"/>
              </w:rPr>
              <w:t>APML</w:t>
            </w:r>
          </w:p>
        </w:tc>
        <w:tc>
          <w:tcPr>
            <w:tcW w:w="431" w:type="pct"/>
          </w:tcPr>
          <w:p w:rsidR="00F77324" w:rsidRPr="00CF4C4E" w:rsidRDefault="00F77324" w:rsidP="00CF4C4E">
            <w:pPr>
              <w:rPr>
                <w:sz w:val="20"/>
                <w:szCs w:val="20"/>
                <w:lang w:val="en-GB"/>
              </w:rPr>
            </w:pPr>
            <w:r w:rsidRPr="00CF4C4E">
              <w:rPr>
                <w:sz w:val="20"/>
                <w:szCs w:val="20"/>
                <w:lang w:val="en-GB"/>
              </w:rPr>
              <w:t>Supervisory authorities</w:t>
            </w:r>
          </w:p>
        </w:tc>
        <w:tc>
          <w:tcPr>
            <w:tcW w:w="404" w:type="pct"/>
          </w:tcPr>
          <w:p w:rsidR="00F77324" w:rsidRPr="00CF4C4E" w:rsidRDefault="00F77324" w:rsidP="00CF4C4E">
            <w:pPr>
              <w:rPr>
                <w:color w:val="FF0000"/>
                <w:sz w:val="20"/>
                <w:szCs w:val="20"/>
                <w:lang w:val="en-GB"/>
              </w:rPr>
            </w:pPr>
            <w:r w:rsidRPr="00CF4C4E">
              <w:rPr>
                <w:sz w:val="20"/>
                <w:szCs w:val="20"/>
                <w:lang w:val="en-GB"/>
              </w:rPr>
              <w:t>IV quarter of 2022</w:t>
            </w:r>
          </w:p>
        </w:tc>
        <w:tc>
          <w:tcPr>
            <w:tcW w:w="548" w:type="pct"/>
          </w:tcPr>
          <w:p w:rsidR="00F77324" w:rsidRPr="00CF4C4E" w:rsidRDefault="00F77324" w:rsidP="00CF4C4E">
            <w:pPr>
              <w:rPr>
                <w:sz w:val="20"/>
                <w:szCs w:val="20"/>
                <w:lang w:val="en-GB"/>
              </w:rPr>
            </w:pPr>
            <w:r w:rsidRPr="00CF4C4E">
              <w:rPr>
                <w:sz w:val="20"/>
                <w:szCs w:val="20"/>
                <w:lang w:val="en-GB"/>
              </w:rPr>
              <w:t>Financed as part of regular activities of staff</w:t>
            </w:r>
          </w:p>
        </w:tc>
        <w:tc>
          <w:tcPr>
            <w:tcW w:w="500"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c>
          <w:tcPr>
            <w:tcW w:w="699" w:type="pct"/>
          </w:tcPr>
          <w:p w:rsidR="00F77324" w:rsidRPr="00CF4C4E" w:rsidRDefault="00F77324" w:rsidP="00CF4C4E">
            <w:pPr>
              <w:rPr>
                <w:sz w:val="20"/>
                <w:szCs w:val="20"/>
                <w:lang w:val="en-GB"/>
              </w:rPr>
            </w:pPr>
          </w:p>
        </w:tc>
        <w:tc>
          <w:tcPr>
            <w:tcW w:w="592" w:type="pct"/>
          </w:tcPr>
          <w:p w:rsidR="00F77324" w:rsidRPr="00CF4C4E" w:rsidRDefault="00F77324" w:rsidP="00CF4C4E">
            <w:pPr>
              <w:rPr>
                <w:sz w:val="20"/>
                <w:szCs w:val="20"/>
                <w:lang w:val="en-GB"/>
              </w:rPr>
            </w:pPr>
          </w:p>
        </w:tc>
      </w:tr>
    </w:tbl>
    <w:p w:rsidR="00F43ECD" w:rsidRPr="00CF4C4E" w:rsidRDefault="00F43ECD" w:rsidP="00CF4C4E">
      <w:pPr>
        <w:rPr>
          <w:b/>
          <w:sz w:val="20"/>
          <w:szCs w:val="20"/>
          <w:lang w:val="en-GB"/>
        </w:rPr>
      </w:pPr>
    </w:p>
    <w:tbl>
      <w:tblPr>
        <w:tblStyle w:val="TableGrid"/>
        <w:tblW w:w="4986" w:type="pct"/>
        <w:tblInd w:w="11" w:type="dxa"/>
        <w:tblLayout w:type="fixed"/>
        <w:tblLook w:val="04A0"/>
      </w:tblPr>
      <w:tblGrid>
        <w:gridCol w:w="3194"/>
        <w:gridCol w:w="1458"/>
        <w:gridCol w:w="1965"/>
        <w:gridCol w:w="382"/>
        <w:gridCol w:w="775"/>
        <w:gridCol w:w="1693"/>
        <w:gridCol w:w="1527"/>
        <w:gridCol w:w="1561"/>
        <w:gridCol w:w="1580"/>
      </w:tblGrid>
      <w:tr w:rsidR="00F43ECD" w:rsidRPr="00CF4C4E" w:rsidTr="00C11F8E">
        <w:trPr>
          <w:trHeight w:val="168"/>
        </w:trPr>
        <w:tc>
          <w:tcPr>
            <w:tcW w:w="5000" w:type="pct"/>
            <w:gridSpan w:val="9"/>
            <w:tcBorders>
              <w:top w:val="double" w:sz="4" w:space="0" w:color="auto"/>
              <w:left w:val="double" w:sz="4" w:space="0" w:color="auto"/>
              <w:right w:val="double" w:sz="4" w:space="0" w:color="auto"/>
            </w:tcBorders>
            <w:shd w:val="clear" w:color="auto" w:fill="E5B8B7" w:themeFill="accent2" w:themeFillTint="66"/>
          </w:tcPr>
          <w:p w:rsidR="00F43ECD" w:rsidRPr="00CF4C4E" w:rsidRDefault="00054E20" w:rsidP="00CF4C4E">
            <w:pPr>
              <w:pStyle w:val="Heading3"/>
              <w:spacing w:before="0"/>
              <w:rPr>
                <w:rFonts w:cs="Times New Roman"/>
                <w:szCs w:val="20"/>
                <w:lang w:val="en-GB"/>
              </w:rPr>
            </w:pPr>
            <w:bookmarkStart w:id="4" w:name="_Toc32409908"/>
            <w:r w:rsidRPr="00CF4C4E">
              <w:rPr>
                <w:rFonts w:cs="Times New Roman"/>
                <w:szCs w:val="20"/>
                <w:lang w:val="en-GB"/>
              </w:rPr>
              <w:lastRenderedPageBreak/>
              <w:t>Measure 1.3:</w:t>
            </w:r>
            <w:r w:rsidRPr="00CF4C4E">
              <w:rPr>
                <w:rFonts w:cs="Times New Roman"/>
                <w:b w:val="0"/>
                <w:bCs w:val="0"/>
                <w:szCs w:val="20"/>
                <w:lang w:val="en-GB"/>
              </w:rPr>
              <w:t xml:space="preserve"> </w:t>
            </w:r>
            <w:r w:rsidRPr="00CF4C4E">
              <w:rPr>
                <w:rFonts w:cs="Times New Roman"/>
                <w:szCs w:val="20"/>
                <w:lang w:val="en-GB"/>
              </w:rPr>
              <w:t>Further development of coordination and cooperation mechanisms between the competent authorities for supervision, financial intelligence, ML/ TF investigation and prosecution, and asset recovery, and improvement of international cooperation</w:t>
            </w:r>
            <w:bookmarkEnd w:id="4"/>
            <w:r w:rsidRPr="00CF4C4E">
              <w:rPr>
                <w:rFonts w:cs="Times New Roman"/>
                <w:b w:val="0"/>
                <w:bCs w:val="0"/>
                <w:szCs w:val="20"/>
                <w:lang w:val="en-GB"/>
              </w:rPr>
              <w:t xml:space="preserve"> </w:t>
            </w:r>
          </w:p>
        </w:tc>
      </w:tr>
      <w:tr w:rsidR="00F43ECD" w:rsidRPr="00CF4C4E" w:rsidTr="00C11F8E">
        <w:trPr>
          <w:trHeight w:val="298"/>
        </w:trPr>
        <w:tc>
          <w:tcPr>
            <w:tcW w:w="5000" w:type="pct"/>
            <w:gridSpan w:val="9"/>
            <w:tcBorders>
              <w:top w:val="double" w:sz="4" w:space="0" w:color="auto"/>
              <w:left w:val="double" w:sz="4" w:space="0" w:color="auto"/>
              <w:bottom w:val="double" w:sz="4" w:space="0" w:color="auto"/>
              <w:right w:val="double" w:sz="4" w:space="0" w:color="auto"/>
            </w:tcBorders>
            <w:shd w:val="clear" w:color="auto" w:fill="E5B8B7" w:themeFill="accent2" w:themeFillTint="66"/>
          </w:tcPr>
          <w:p w:rsidR="00F43ECD" w:rsidRPr="00CF4C4E" w:rsidRDefault="00F43ECD" w:rsidP="00CF4C4E">
            <w:pPr>
              <w:rPr>
                <w:sz w:val="20"/>
                <w:szCs w:val="20"/>
                <w:lang w:val="en-GB"/>
              </w:rPr>
            </w:pPr>
            <w:r w:rsidRPr="00CF4C4E">
              <w:rPr>
                <w:sz w:val="20"/>
                <w:szCs w:val="20"/>
                <w:lang w:val="en-GB"/>
              </w:rPr>
              <w:t>Authority responsible for implementation (coordination of implementation) of the measure: Coordination Body for the Prevention of Money Laundering and the Financing of Terrorism (AML/CFT CB)</w:t>
            </w:r>
          </w:p>
        </w:tc>
      </w:tr>
      <w:tr w:rsidR="00F43ECD" w:rsidRPr="00CF4C4E" w:rsidTr="00C11F8E">
        <w:trPr>
          <w:trHeight w:val="298"/>
        </w:trPr>
        <w:tc>
          <w:tcPr>
            <w:tcW w:w="2476" w:type="pct"/>
            <w:gridSpan w:val="4"/>
            <w:tcBorders>
              <w:top w:val="double" w:sz="4" w:space="0" w:color="auto"/>
              <w:left w:val="double" w:sz="4" w:space="0" w:color="auto"/>
              <w:bottom w:val="double" w:sz="4" w:space="0" w:color="auto"/>
              <w:right w:val="double" w:sz="4" w:space="0" w:color="auto"/>
            </w:tcBorders>
            <w:shd w:val="clear" w:color="auto" w:fill="E5B8B7" w:themeFill="accent2" w:themeFillTint="66"/>
          </w:tcPr>
          <w:p w:rsidR="00F43ECD" w:rsidRPr="00CF4C4E" w:rsidRDefault="00F43ECD" w:rsidP="00CF4C4E">
            <w:pPr>
              <w:rPr>
                <w:sz w:val="20"/>
                <w:szCs w:val="20"/>
                <w:lang w:val="en-GB"/>
              </w:rPr>
            </w:pPr>
            <w:r w:rsidRPr="00CF4C4E">
              <w:rPr>
                <w:sz w:val="20"/>
                <w:szCs w:val="20"/>
                <w:lang w:val="en-GB"/>
              </w:rPr>
              <w:t>Implementation period: 2020-2022</w:t>
            </w:r>
          </w:p>
        </w:tc>
        <w:tc>
          <w:tcPr>
            <w:tcW w:w="2524" w:type="pct"/>
            <w:gridSpan w:val="5"/>
            <w:tcBorders>
              <w:top w:val="double" w:sz="4" w:space="0" w:color="auto"/>
              <w:left w:val="double" w:sz="4" w:space="0" w:color="auto"/>
              <w:bottom w:val="double" w:sz="4" w:space="0" w:color="auto"/>
              <w:right w:val="double" w:sz="4" w:space="0" w:color="auto"/>
            </w:tcBorders>
            <w:shd w:val="clear" w:color="auto" w:fill="E5B8B7" w:themeFill="accent2" w:themeFillTint="66"/>
          </w:tcPr>
          <w:p w:rsidR="00F43ECD" w:rsidRPr="00CF4C4E" w:rsidRDefault="00F43ECD" w:rsidP="00CF4C4E">
            <w:pPr>
              <w:rPr>
                <w:sz w:val="20"/>
                <w:szCs w:val="20"/>
                <w:lang w:val="en-GB"/>
              </w:rPr>
            </w:pPr>
            <w:r w:rsidRPr="00CF4C4E">
              <w:rPr>
                <w:sz w:val="20"/>
                <w:szCs w:val="20"/>
                <w:lang w:val="en-GB"/>
              </w:rPr>
              <w:t>Type of measure: Institutional-governance-organisational</w:t>
            </w:r>
          </w:p>
        </w:tc>
      </w:tr>
      <w:tr w:rsidR="004316AD" w:rsidRPr="00CF4C4E" w:rsidTr="004316AD">
        <w:trPr>
          <w:trHeight w:val="950"/>
        </w:trPr>
        <w:tc>
          <w:tcPr>
            <w:tcW w:w="1130" w:type="pct"/>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Indicator(s) at the level of measure (result indicator):</w:t>
            </w:r>
          </w:p>
        </w:tc>
        <w:tc>
          <w:tcPr>
            <w:tcW w:w="516" w:type="pct"/>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Unit of measurement</w:t>
            </w:r>
          </w:p>
          <w:p w:rsidR="004316AD" w:rsidRPr="00CF4C4E" w:rsidRDefault="004316AD" w:rsidP="00CF4C4E">
            <w:pPr>
              <w:rPr>
                <w:sz w:val="20"/>
                <w:szCs w:val="20"/>
                <w:lang w:val="en-GB"/>
              </w:rPr>
            </w:pPr>
          </w:p>
        </w:tc>
        <w:tc>
          <w:tcPr>
            <w:tcW w:w="695" w:type="pct"/>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Source of verification</w:t>
            </w:r>
          </w:p>
        </w:tc>
        <w:tc>
          <w:tcPr>
            <w:tcW w:w="409" w:type="pct"/>
            <w:gridSpan w:val="2"/>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 xml:space="preserve">Base value </w:t>
            </w:r>
          </w:p>
        </w:tc>
        <w:tc>
          <w:tcPr>
            <w:tcW w:w="599" w:type="pct"/>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Base year</w:t>
            </w:r>
          </w:p>
        </w:tc>
        <w:tc>
          <w:tcPr>
            <w:tcW w:w="540" w:type="pct"/>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Target value in 2020</w:t>
            </w:r>
          </w:p>
        </w:tc>
        <w:tc>
          <w:tcPr>
            <w:tcW w:w="552" w:type="pct"/>
            <w:tcBorders>
              <w:top w:val="double" w:sz="4" w:space="0" w:color="auto"/>
              <w:right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Target value in 2021</w:t>
            </w:r>
          </w:p>
        </w:tc>
        <w:tc>
          <w:tcPr>
            <w:tcW w:w="559" w:type="pct"/>
            <w:tcBorders>
              <w:top w:val="double" w:sz="4" w:space="0" w:color="auto"/>
              <w:right w:val="double" w:sz="4" w:space="0" w:color="auto"/>
            </w:tcBorders>
            <w:shd w:val="clear" w:color="auto" w:fill="D9D9D9" w:themeFill="background1" w:themeFillShade="D9"/>
          </w:tcPr>
          <w:p w:rsidR="004316AD" w:rsidRPr="00CF4C4E" w:rsidRDefault="00885F9C" w:rsidP="00CF4C4E">
            <w:pPr>
              <w:rPr>
                <w:sz w:val="20"/>
                <w:szCs w:val="20"/>
                <w:lang w:val="en-GB"/>
              </w:rPr>
            </w:pPr>
            <w:r w:rsidRPr="00CF4C4E">
              <w:rPr>
                <w:sz w:val="20"/>
                <w:szCs w:val="20"/>
                <w:lang w:val="en-GB"/>
              </w:rPr>
              <w:t>Target value in 2022</w:t>
            </w:r>
          </w:p>
        </w:tc>
      </w:tr>
      <w:tr w:rsidR="00F43ECD" w:rsidRPr="00CF4C4E" w:rsidTr="004316AD">
        <w:trPr>
          <w:trHeight w:val="950"/>
        </w:trPr>
        <w:tc>
          <w:tcPr>
            <w:tcW w:w="1130" w:type="pct"/>
            <w:tcBorders>
              <w:top w:val="double" w:sz="4" w:space="0" w:color="auto"/>
            </w:tcBorders>
            <w:shd w:val="clear" w:color="auto" w:fill="auto"/>
          </w:tcPr>
          <w:p w:rsidR="00F43ECD" w:rsidRPr="00CF4C4E" w:rsidRDefault="00E62F72" w:rsidP="00CF4C4E">
            <w:pPr>
              <w:shd w:val="clear" w:color="auto" w:fill="FFFFFF" w:themeFill="background1"/>
              <w:rPr>
                <w:color w:val="auto"/>
                <w:sz w:val="20"/>
                <w:szCs w:val="20"/>
                <w:lang w:val="en-GB"/>
              </w:rPr>
            </w:pPr>
            <w:r w:rsidRPr="00CF4C4E">
              <w:rPr>
                <w:color w:val="auto"/>
                <w:sz w:val="20"/>
                <w:szCs w:val="20"/>
                <w:lang w:val="en-GB"/>
              </w:rPr>
              <w:t>Progress in effectiveness and level of technical compliance with relevant international standards, annually</w:t>
            </w:r>
          </w:p>
        </w:tc>
        <w:tc>
          <w:tcPr>
            <w:tcW w:w="516" w:type="pct"/>
            <w:tcBorders>
              <w:top w:val="double" w:sz="4" w:space="0" w:color="auto"/>
            </w:tcBorders>
            <w:shd w:val="clear" w:color="auto" w:fill="auto"/>
          </w:tcPr>
          <w:p w:rsidR="00F43ECD" w:rsidRPr="00CF4C4E" w:rsidRDefault="007F7FA4" w:rsidP="00CF4C4E">
            <w:pPr>
              <w:shd w:val="clear" w:color="auto" w:fill="FFFFFF" w:themeFill="background1"/>
              <w:rPr>
                <w:color w:val="auto"/>
                <w:sz w:val="20"/>
                <w:szCs w:val="20"/>
                <w:lang w:val="en-GB"/>
              </w:rPr>
            </w:pPr>
            <w:r w:rsidRPr="00CF4C4E">
              <w:rPr>
                <w:color w:val="auto"/>
                <w:sz w:val="20"/>
                <w:szCs w:val="20"/>
                <w:lang w:val="en-GB"/>
              </w:rPr>
              <w:t>Yes/No</w:t>
            </w:r>
          </w:p>
        </w:tc>
        <w:tc>
          <w:tcPr>
            <w:tcW w:w="695" w:type="pct"/>
            <w:tcBorders>
              <w:top w:val="double" w:sz="4" w:space="0" w:color="auto"/>
            </w:tcBorders>
            <w:shd w:val="clear" w:color="auto" w:fill="auto"/>
          </w:tcPr>
          <w:p w:rsidR="00F43ECD" w:rsidRPr="00CF4C4E" w:rsidRDefault="007F7FA4" w:rsidP="00CF4C4E">
            <w:pPr>
              <w:shd w:val="clear" w:color="auto" w:fill="FFFFFF" w:themeFill="background1"/>
              <w:rPr>
                <w:color w:val="auto"/>
                <w:sz w:val="20"/>
                <w:szCs w:val="20"/>
                <w:lang w:val="en-GB"/>
              </w:rPr>
            </w:pPr>
            <w:r w:rsidRPr="00CF4C4E">
              <w:rPr>
                <w:color w:val="auto"/>
                <w:sz w:val="20"/>
                <w:szCs w:val="20"/>
                <w:lang w:val="en-GB"/>
              </w:rPr>
              <w:t>Moneyval report, Competent authorities’/Coordination body work reports</w:t>
            </w:r>
          </w:p>
        </w:tc>
        <w:tc>
          <w:tcPr>
            <w:tcW w:w="409" w:type="pct"/>
            <w:gridSpan w:val="2"/>
            <w:tcBorders>
              <w:top w:val="double" w:sz="4" w:space="0" w:color="auto"/>
            </w:tcBorders>
            <w:shd w:val="clear" w:color="auto" w:fill="auto"/>
          </w:tcPr>
          <w:p w:rsidR="00F43ECD" w:rsidRPr="00CF4C4E" w:rsidRDefault="007F7FA4" w:rsidP="00CF4C4E">
            <w:pPr>
              <w:shd w:val="clear" w:color="auto" w:fill="FFFFFF" w:themeFill="background1"/>
              <w:rPr>
                <w:color w:val="auto"/>
                <w:sz w:val="20"/>
                <w:szCs w:val="20"/>
                <w:lang w:val="en-GB"/>
              </w:rPr>
            </w:pPr>
            <w:r w:rsidRPr="00CF4C4E">
              <w:rPr>
                <w:color w:val="auto"/>
                <w:sz w:val="20"/>
                <w:szCs w:val="20"/>
                <w:lang w:val="en-GB"/>
              </w:rPr>
              <w:t>Yes.</w:t>
            </w:r>
          </w:p>
        </w:tc>
        <w:tc>
          <w:tcPr>
            <w:tcW w:w="599" w:type="pct"/>
            <w:tcBorders>
              <w:top w:val="double" w:sz="4" w:space="0" w:color="auto"/>
            </w:tcBorders>
            <w:shd w:val="clear" w:color="auto" w:fill="auto"/>
          </w:tcPr>
          <w:p w:rsidR="00F43ECD" w:rsidRPr="00CF4C4E" w:rsidRDefault="007F7FA4" w:rsidP="00CF4C4E">
            <w:pPr>
              <w:shd w:val="clear" w:color="auto" w:fill="FFFFFF" w:themeFill="background1"/>
              <w:rPr>
                <w:color w:val="auto"/>
                <w:sz w:val="20"/>
                <w:szCs w:val="20"/>
                <w:lang w:val="en-GB"/>
              </w:rPr>
            </w:pPr>
            <w:r w:rsidRPr="00CF4C4E">
              <w:rPr>
                <w:color w:val="auto"/>
                <w:sz w:val="20"/>
                <w:szCs w:val="20"/>
                <w:lang w:val="en-GB"/>
              </w:rPr>
              <w:t>2019</w:t>
            </w:r>
          </w:p>
        </w:tc>
        <w:tc>
          <w:tcPr>
            <w:tcW w:w="540" w:type="pct"/>
            <w:tcBorders>
              <w:top w:val="double" w:sz="4" w:space="0" w:color="auto"/>
            </w:tcBorders>
            <w:shd w:val="clear" w:color="auto" w:fill="auto"/>
          </w:tcPr>
          <w:p w:rsidR="00F43ECD" w:rsidRPr="00CF4C4E" w:rsidRDefault="007F7FA4" w:rsidP="00CF4C4E">
            <w:pPr>
              <w:shd w:val="clear" w:color="auto" w:fill="FFFFFF" w:themeFill="background1"/>
              <w:rPr>
                <w:color w:val="auto"/>
                <w:sz w:val="20"/>
                <w:szCs w:val="20"/>
                <w:lang w:val="en-GB"/>
              </w:rPr>
            </w:pPr>
            <w:r w:rsidRPr="00CF4C4E">
              <w:rPr>
                <w:color w:val="auto"/>
                <w:sz w:val="20"/>
                <w:szCs w:val="20"/>
                <w:lang w:val="en-GB"/>
              </w:rPr>
              <w:t>Yes.</w:t>
            </w:r>
          </w:p>
        </w:tc>
        <w:tc>
          <w:tcPr>
            <w:tcW w:w="552" w:type="pct"/>
            <w:tcBorders>
              <w:top w:val="double" w:sz="4" w:space="0" w:color="auto"/>
              <w:right w:val="double" w:sz="4" w:space="0" w:color="auto"/>
            </w:tcBorders>
            <w:shd w:val="clear" w:color="auto" w:fill="auto"/>
          </w:tcPr>
          <w:p w:rsidR="00F43ECD" w:rsidRPr="00CF4C4E" w:rsidRDefault="007F7FA4" w:rsidP="00CF4C4E">
            <w:pPr>
              <w:shd w:val="clear" w:color="auto" w:fill="FFFFFF" w:themeFill="background1"/>
              <w:rPr>
                <w:color w:val="auto"/>
                <w:sz w:val="20"/>
                <w:szCs w:val="20"/>
                <w:lang w:val="en-GB"/>
              </w:rPr>
            </w:pPr>
            <w:r w:rsidRPr="00CF4C4E">
              <w:rPr>
                <w:color w:val="auto"/>
                <w:sz w:val="20"/>
                <w:szCs w:val="20"/>
                <w:lang w:val="en-GB"/>
              </w:rPr>
              <w:t>Yes.</w:t>
            </w:r>
          </w:p>
        </w:tc>
        <w:tc>
          <w:tcPr>
            <w:tcW w:w="559" w:type="pct"/>
            <w:tcBorders>
              <w:top w:val="double" w:sz="4" w:space="0" w:color="auto"/>
              <w:right w:val="double" w:sz="4" w:space="0" w:color="auto"/>
            </w:tcBorders>
            <w:shd w:val="clear" w:color="auto" w:fill="auto"/>
          </w:tcPr>
          <w:p w:rsidR="00F43ECD" w:rsidRPr="00CF4C4E" w:rsidRDefault="007F7FA4" w:rsidP="00CF4C4E">
            <w:pPr>
              <w:shd w:val="clear" w:color="auto" w:fill="FFFFFF" w:themeFill="background1"/>
              <w:rPr>
                <w:color w:val="auto"/>
                <w:sz w:val="20"/>
                <w:szCs w:val="20"/>
                <w:lang w:val="en-GB"/>
              </w:rPr>
            </w:pPr>
            <w:r w:rsidRPr="00CF4C4E">
              <w:rPr>
                <w:color w:val="auto"/>
                <w:sz w:val="20"/>
                <w:szCs w:val="20"/>
                <w:lang w:val="en-GB"/>
              </w:rPr>
              <w:t>Yes.</w:t>
            </w:r>
          </w:p>
        </w:tc>
      </w:tr>
    </w:tbl>
    <w:p w:rsidR="00F43ECD" w:rsidRPr="00CF4C4E" w:rsidRDefault="00F43ECD" w:rsidP="00CF4C4E">
      <w:pPr>
        <w:rPr>
          <w:sz w:val="20"/>
          <w:szCs w:val="20"/>
          <w:lang w:val="en-GB"/>
        </w:rPr>
      </w:pPr>
    </w:p>
    <w:tbl>
      <w:tblPr>
        <w:tblStyle w:val="TableGrid"/>
        <w:tblW w:w="5000" w:type="pct"/>
        <w:tblLayout w:type="fixed"/>
        <w:tblLook w:val="04A0"/>
      </w:tblPr>
      <w:tblGrid>
        <w:gridCol w:w="2358"/>
        <w:gridCol w:w="1128"/>
        <w:gridCol w:w="1222"/>
        <w:gridCol w:w="1145"/>
        <w:gridCol w:w="1554"/>
        <w:gridCol w:w="1143"/>
        <w:gridCol w:w="1905"/>
        <w:gridCol w:w="1701"/>
        <w:gridCol w:w="2019"/>
      </w:tblGrid>
      <w:tr w:rsidR="002E2CAF" w:rsidRPr="00CF4C4E" w:rsidTr="006B4500">
        <w:trPr>
          <w:trHeight w:val="140"/>
        </w:trPr>
        <w:tc>
          <w:tcPr>
            <w:tcW w:w="832" w:type="pct"/>
            <w:vMerge w:val="restart"/>
            <w:tcBorders>
              <w:top w:val="double" w:sz="4" w:space="0" w:color="auto"/>
              <w:left w:val="double" w:sz="4" w:space="0" w:color="auto"/>
            </w:tcBorders>
            <w:shd w:val="clear" w:color="auto" w:fill="E5DFEC" w:themeFill="accent4" w:themeFillTint="33"/>
          </w:tcPr>
          <w:p w:rsidR="002E2CAF" w:rsidRPr="00CF4C4E" w:rsidRDefault="002E2CAF" w:rsidP="00CF4C4E">
            <w:pPr>
              <w:rPr>
                <w:b/>
                <w:sz w:val="20"/>
                <w:szCs w:val="20"/>
                <w:lang w:val="en-GB"/>
              </w:rPr>
            </w:pPr>
            <w:r w:rsidRPr="00CF4C4E">
              <w:rPr>
                <w:b/>
                <w:bCs/>
                <w:sz w:val="20"/>
                <w:szCs w:val="20"/>
                <w:lang w:val="en-GB"/>
              </w:rPr>
              <w:t>Activity title:</w:t>
            </w:r>
          </w:p>
        </w:tc>
        <w:tc>
          <w:tcPr>
            <w:tcW w:w="398" w:type="pct"/>
            <w:vMerge w:val="restart"/>
            <w:tcBorders>
              <w:top w:val="double" w:sz="4" w:space="0" w:color="auto"/>
            </w:tcBorders>
            <w:shd w:val="clear" w:color="auto" w:fill="E5DFEC" w:themeFill="accent4" w:themeFillTint="33"/>
          </w:tcPr>
          <w:p w:rsidR="002E2CAF" w:rsidRPr="00CF4C4E" w:rsidRDefault="002E2CAF" w:rsidP="00CF4C4E">
            <w:pPr>
              <w:rPr>
                <w:b/>
                <w:sz w:val="20"/>
                <w:szCs w:val="20"/>
                <w:lang w:val="en-GB"/>
              </w:rPr>
            </w:pPr>
            <w:r w:rsidRPr="00CF4C4E">
              <w:rPr>
                <w:b/>
                <w:bCs/>
                <w:sz w:val="20"/>
                <w:szCs w:val="20"/>
                <w:lang w:val="en-GB"/>
              </w:rPr>
              <w:t>Authority implementing the activity</w:t>
            </w:r>
          </w:p>
        </w:tc>
        <w:tc>
          <w:tcPr>
            <w:tcW w:w="431" w:type="pct"/>
            <w:vMerge w:val="restart"/>
            <w:tcBorders>
              <w:top w:val="double" w:sz="4" w:space="0" w:color="auto"/>
            </w:tcBorders>
            <w:shd w:val="clear" w:color="auto" w:fill="E5DFEC" w:themeFill="accent4" w:themeFillTint="33"/>
          </w:tcPr>
          <w:p w:rsidR="002E2CAF" w:rsidRPr="00CF4C4E" w:rsidRDefault="002E2CAF" w:rsidP="00CF4C4E">
            <w:pPr>
              <w:rPr>
                <w:b/>
                <w:sz w:val="20"/>
                <w:szCs w:val="20"/>
                <w:lang w:val="en-GB"/>
              </w:rPr>
            </w:pPr>
            <w:r w:rsidRPr="00CF4C4E">
              <w:rPr>
                <w:b/>
                <w:bCs/>
                <w:sz w:val="20"/>
                <w:szCs w:val="20"/>
                <w:lang w:val="en-GB"/>
              </w:rPr>
              <w:t>Partners in the implementation of the activity</w:t>
            </w:r>
          </w:p>
        </w:tc>
        <w:tc>
          <w:tcPr>
            <w:tcW w:w="404" w:type="pct"/>
            <w:vMerge w:val="restart"/>
            <w:tcBorders>
              <w:top w:val="double" w:sz="4" w:space="0" w:color="auto"/>
            </w:tcBorders>
            <w:shd w:val="clear" w:color="auto" w:fill="E5DFEC" w:themeFill="accent4" w:themeFillTint="33"/>
          </w:tcPr>
          <w:p w:rsidR="002E2CAF" w:rsidRPr="00CF4C4E" w:rsidRDefault="002E2CAF" w:rsidP="00CF4C4E">
            <w:pPr>
              <w:jc w:val="center"/>
              <w:rPr>
                <w:b/>
                <w:sz w:val="20"/>
                <w:szCs w:val="20"/>
                <w:lang w:val="en-GB"/>
              </w:rPr>
            </w:pPr>
            <w:r w:rsidRPr="00CF4C4E">
              <w:rPr>
                <w:b/>
                <w:bCs/>
                <w:sz w:val="20"/>
                <w:szCs w:val="20"/>
                <w:lang w:val="en-GB"/>
              </w:rPr>
              <w:t>Deadline for completion of activity</w:t>
            </w:r>
          </w:p>
        </w:tc>
        <w:tc>
          <w:tcPr>
            <w:tcW w:w="548" w:type="pct"/>
            <w:vMerge w:val="restart"/>
            <w:tcBorders>
              <w:top w:val="double" w:sz="4" w:space="0" w:color="auto"/>
            </w:tcBorders>
            <w:shd w:val="clear" w:color="auto" w:fill="E5DFEC" w:themeFill="accent4" w:themeFillTint="33"/>
          </w:tcPr>
          <w:p w:rsidR="002E2CAF" w:rsidRPr="00CF4C4E" w:rsidRDefault="002E2CAF" w:rsidP="00CF4C4E">
            <w:pPr>
              <w:jc w:val="center"/>
              <w:rPr>
                <w:b/>
                <w:sz w:val="20"/>
                <w:szCs w:val="20"/>
                <w:lang w:val="en-GB"/>
              </w:rPr>
            </w:pPr>
            <w:r w:rsidRPr="00CF4C4E">
              <w:rPr>
                <w:b/>
                <w:bCs/>
                <w:sz w:val="20"/>
                <w:szCs w:val="20"/>
                <w:lang w:val="en-GB"/>
              </w:rPr>
              <w:t>Source of financing</w:t>
            </w:r>
          </w:p>
        </w:tc>
        <w:tc>
          <w:tcPr>
            <w:tcW w:w="403" w:type="pct"/>
            <w:vMerge w:val="restart"/>
            <w:tcBorders>
              <w:top w:val="double" w:sz="4" w:space="0" w:color="auto"/>
            </w:tcBorders>
            <w:shd w:val="clear" w:color="auto" w:fill="E5DFEC" w:themeFill="accent4" w:themeFillTint="33"/>
          </w:tcPr>
          <w:p w:rsidR="002E2CAF" w:rsidRPr="00CF4C4E" w:rsidRDefault="002E2CAF" w:rsidP="00CF4C4E">
            <w:pPr>
              <w:rPr>
                <w:b/>
                <w:sz w:val="20"/>
                <w:szCs w:val="20"/>
                <w:lang w:val="en-GB"/>
              </w:rPr>
            </w:pPr>
            <w:r w:rsidRPr="00CF4C4E">
              <w:rPr>
                <w:b/>
                <w:bCs/>
                <w:sz w:val="20"/>
                <w:szCs w:val="20"/>
                <w:lang w:val="en-GB"/>
              </w:rPr>
              <w:t>Link to programme budget</w:t>
            </w:r>
          </w:p>
          <w:p w:rsidR="002E2CAF" w:rsidRPr="00CF4C4E" w:rsidRDefault="002E2CAF" w:rsidP="00CF4C4E">
            <w:pPr>
              <w:jc w:val="center"/>
              <w:rPr>
                <w:b/>
                <w:sz w:val="20"/>
                <w:szCs w:val="20"/>
                <w:lang w:val="en-GB"/>
              </w:rPr>
            </w:pPr>
          </w:p>
        </w:tc>
        <w:tc>
          <w:tcPr>
            <w:tcW w:w="1984" w:type="pct"/>
            <w:gridSpan w:val="3"/>
            <w:tcBorders>
              <w:top w:val="double" w:sz="4" w:space="0" w:color="auto"/>
            </w:tcBorders>
            <w:shd w:val="clear" w:color="auto" w:fill="E5DFEC" w:themeFill="accent4" w:themeFillTint="33"/>
          </w:tcPr>
          <w:p w:rsidR="002E2CAF" w:rsidRPr="00CF4C4E" w:rsidRDefault="002E2CAF" w:rsidP="00CF4C4E">
            <w:pPr>
              <w:jc w:val="center"/>
              <w:rPr>
                <w:b/>
                <w:sz w:val="20"/>
                <w:szCs w:val="20"/>
                <w:lang w:val="en-GB"/>
              </w:rPr>
            </w:pPr>
            <w:r w:rsidRPr="00CF4C4E">
              <w:rPr>
                <w:b/>
                <w:bCs/>
                <w:sz w:val="20"/>
                <w:szCs w:val="20"/>
                <w:lang w:val="en-GB"/>
              </w:rPr>
              <w:t>Total assessed financial resources by source in RSD 000</w:t>
            </w:r>
          </w:p>
        </w:tc>
      </w:tr>
      <w:tr w:rsidR="006B4500" w:rsidRPr="00CF4C4E" w:rsidTr="006B4500">
        <w:trPr>
          <w:trHeight w:val="386"/>
        </w:trPr>
        <w:tc>
          <w:tcPr>
            <w:tcW w:w="832" w:type="pct"/>
            <w:vMerge/>
            <w:tcBorders>
              <w:left w:val="double" w:sz="4" w:space="0" w:color="auto"/>
            </w:tcBorders>
            <w:shd w:val="clear" w:color="auto" w:fill="E5DFEC" w:themeFill="accent4" w:themeFillTint="33"/>
          </w:tcPr>
          <w:p w:rsidR="00DB34B7" w:rsidRPr="00CF4C4E" w:rsidRDefault="00DB34B7" w:rsidP="00CF4C4E">
            <w:pPr>
              <w:rPr>
                <w:sz w:val="20"/>
                <w:szCs w:val="20"/>
                <w:lang w:val="en-GB"/>
              </w:rPr>
            </w:pPr>
          </w:p>
        </w:tc>
        <w:tc>
          <w:tcPr>
            <w:tcW w:w="398" w:type="pct"/>
            <w:vMerge/>
            <w:shd w:val="clear" w:color="auto" w:fill="E5DFEC" w:themeFill="accent4" w:themeFillTint="33"/>
          </w:tcPr>
          <w:p w:rsidR="00DB34B7" w:rsidRPr="00CF4C4E" w:rsidRDefault="00DB34B7" w:rsidP="00CF4C4E">
            <w:pPr>
              <w:rPr>
                <w:sz w:val="20"/>
                <w:szCs w:val="20"/>
                <w:lang w:val="en-GB"/>
              </w:rPr>
            </w:pPr>
          </w:p>
        </w:tc>
        <w:tc>
          <w:tcPr>
            <w:tcW w:w="431" w:type="pct"/>
            <w:vMerge/>
            <w:shd w:val="clear" w:color="auto" w:fill="E5DFEC" w:themeFill="accent4" w:themeFillTint="33"/>
          </w:tcPr>
          <w:p w:rsidR="00DB34B7" w:rsidRPr="00CF4C4E" w:rsidRDefault="00DB34B7" w:rsidP="00CF4C4E">
            <w:pPr>
              <w:rPr>
                <w:sz w:val="20"/>
                <w:szCs w:val="20"/>
                <w:lang w:val="en-GB"/>
              </w:rPr>
            </w:pPr>
          </w:p>
        </w:tc>
        <w:tc>
          <w:tcPr>
            <w:tcW w:w="404" w:type="pct"/>
            <w:vMerge/>
            <w:shd w:val="clear" w:color="auto" w:fill="E5DFEC" w:themeFill="accent4" w:themeFillTint="33"/>
          </w:tcPr>
          <w:p w:rsidR="00DB34B7" w:rsidRPr="00CF4C4E" w:rsidRDefault="00DB34B7" w:rsidP="00CF4C4E">
            <w:pPr>
              <w:jc w:val="center"/>
              <w:rPr>
                <w:sz w:val="20"/>
                <w:szCs w:val="20"/>
                <w:lang w:val="en-GB"/>
              </w:rPr>
            </w:pPr>
          </w:p>
        </w:tc>
        <w:tc>
          <w:tcPr>
            <w:tcW w:w="548" w:type="pct"/>
            <w:vMerge/>
            <w:shd w:val="clear" w:color="auto" w:fill="E5DFEC" w:themeFill="accent4" w:themeFillTint="33"/>
          </w:tcPr>
          <w:p w:rsidR="00DB34B7" w:rsidRPr="00CF4C4E" w:rsidRDefault="00DB34B7" w:rsidP="00CF4C4E">
            <w:pPr>
              <w:jc w:val="center"/>
              <w:rPr>
                <w:sz w:val="20"/>
                <w:szCs w:val="20"/>
                <w:lang w:val="en-GB"/>
              </w:rPr>
            </w:pPr>
          </w:p>
        </w:tc>
        <w:tc>
          <w:tcPr>
            <w:tcW w:w="403" w:type="pct"/>
            <w:vMerge/>
            <w:shd w:val="clear" w:color="auto" w:fill="E5DFEC" w:themeFill="accent4" w:themeFillTint="33"/>
          </w:tcPr>
          <w:p w:rsidR="00DB34B7" w:rsidRPr="00CF4C4E" w:rsidRDefault="00DB34B7" w:rsidP="00CF4C4E">
            <w:pPr>
              <w:jc w:val="center"/>
              <w:rPr>
                <w:sz w:val="20"/>
                <w:szCs w:val="20"/>
                <w:lang w:val="en-GB"/>
              </w:rPr>
            </w:pPr>
          </w:p>
        </w:tc>
        <w:tc>
          <w:tcPr>
            <w:tcW w:w="672" w:type="pct"/>
            <w:shd w:val="clear" w:color="auto" w:fill="E5DFEC" w:themeFill="accent4" w:themeFillTint="33"/>
          </w:tcPr>
          <w:p w:rsidR="00DB34B7" w:rsidRPr="00CF4C4E" w:rsidRDefault="00DB34B7" w:rsidP="00CF4C4E">
            <w:pPr>
              <w:jc w:val="center"/>
              <w:rPr>
                <w:b/>
                <w:sz w:val="20"/>
                <w:szCs w:val="20"/>
                <w:lang w:val="en-GB"/>
              </w:rPr>
            </w:pPr>
            <w:r w:rsidRPr="00CF4C4E">
              <w:rPr>
                <w:b/>
                <w:bCs/>
                <w:sz w:val="20"/>
                <w:szCs w:val="20"/>
                <w:lang w:val="en-GB"/>
              </w:rPr>
              <w:t>2020</w:t>
            </w:r>
          </w:p>
        </w:tc>
        <w:tc>
          <w:tcPr>
            <w:tcW w:w="600" w:type="pct"/>
            <w:shd w:val="clear" w:color="auto" w:fill="E5DFEC" w:themeFill="accent4" w:themeFillTint="33"/>
          </w:tcPr>
          <w:p w:rsidR="00DB34B7" w:rsidRPr="00CF4C4E" w:rsidRDefault="00DB34B7" w:rsidP="00CF4C4E">
            <w:pPr>
              <w:jc w:val="center"/>
              <w:rPr>
                <w:b/>
                <w:sz w:val="20"/>
                <w:szCs w:val="20"/>
                <w:lang w:val="en-GB"/>
              </w:rPr>
            </w:pPr>
            <w:r w:rsidRPr="00CF4C4E">
              <w:rPr>
                <w:b/>
                <w:bCs/>
                <w:sz w:val="20"/>
                <w:szCs w:val="20"/>
                <w:lang w:val="en-GB"/>
              </w:rPr>
              <w:t>2021</w:t>
            </w:r>
          </w:p>
        </w:tc>
        <w:tc>
          <w:tcPr>
            <w:tcW w:w="712" w:type="pct"/>
            <w:shd w:val="clear" w:color="auto" w:fill="E5DFEC" w:themeFill="accent4" w:themeFillTint="33"/>
          </w:tcPr>
          <w:p w:rsidR="00DB34B7" w:rsidRPr="00CF4C4E" w:rsidRDefault="00DB34B7" w:rsidP="00CF4C4E">
            <w:pPr>
              <w:jc w:val="center"/>
              <w:rPr>
                <w:b/>
                <w:sz w:val="20"/>
                <w:szCs w:val="20"/>
                <w:lang w:val="en-GB"/>
              </w:rPr>
            </w:pPr>
            <w:r w:rsidRPr="00CF4C4E">
              <w:rPr>
                <w:b/>
                <w:bCs/>
                <w:sz w:val="20"/>
                <w:szCs w:val="20"/>
                <w:lang w:val="en-GB"/>
              </w:rPr>
              <w:t>2022</w:t>
            </w:r>
          </w:p>
        </w:tc>
      </w:tr>
      <w:tr w:rsidR="00F77324" w:rsidRPr="00CF4C4E" w:rsidTr="006B4500">
        <w:trPr>
          <w:trHeight w:val="2293"/>
        </w:trPr>
        <w:tc>
          <w:tcPr>
            <w:tcW w:w="832" w:type="pct"/>
            <w:tcBorders>
              <w:left w:val="double" w:sz="4" w:space="0" w:color="auto"/>
            </w:tcBorders>
          </w:tcPr>
          <w:p w:rsidR="00F77324" w:rsidRPr="00CF4C4E" w:rsidRDefault="00F77324" w:rsidP="00CF4C4E">
            <w:pPr>
              <w:rPr>
                <w:sz w:val="20"/>
                <w:szCs w:val="20"/>
                <w:lang w:val="en-GB"/>
              </w:rPr>
            </w:pPr>
            <w:r w:rsidRPr="00CF4C4E">
              <w:rPr>
                <w:sz w:val="20"/>
                <w:szCs w:val="20"/>
                <w:lang w:val="en-GB"/>
              </w:rPr>
              <w:t>1.3.1 Consider possibilities for developing regional risk analyses and assessments, networking with public registers in other countries and other initiatives, in line with good international practices.</w:t>
            </w:r>
          </w:p>
        </w:tc>
        <w:tc>
          <w:tcPr>
            <w:tcW w:w="398" w:type="pct"/>
          </w:tcPr>
          <w:p w:rsidR="00F77324" w:rsidRPr="00CF4C4E" w:rsidRDefault="00A9340A" w:rsidP="00CF4C4E">
            <w:pPr>
              <w:rPr>
                <w:sz w:val="20"/>
                <w:szCs w:val="20"/>
                <w:lang w:val="en-GB"/>
              </w:rPr>
            </w:pPr>
            <w:r w:rsidRPr="00CF4C4E">
              <w:rPr>
                <w:sz w:val="20"/>
                <w:szCs w:val="20"/>
                <w:lang w:val="en-GB"/>
              </w:rPr>
              <w:t>AML/CFT CB</w:t>
            </w:r>
          </w:p>
        </w:tc>
        <w:tc>
          <w:tcPr>
            <w:tcW w:w="431" w:type="pct"/>
          </w:tcPr>
          <w:p w:rsidR="00F77324" w:rsidRPr="00CF4C4E" w:rsidRDefault="00F77324" w:rsidP="00CF4C4E">
            <w:pPr>
              <w:rPr>
                <w:sz w:val="20"/>
                <w:szCs w:val="20"/>
                <w:lang w:val="en-GB"/>
              </w:rPr>
            </w:pPr>
          </w:p>
        </w:tc>
        <w:tc>
          <w:tcPr>
            <w:tcW w:w="404" w:type="pct"/>
          </w:tcPr>
          <w:p w:rsidR="00F77324" w:rsidRPr="00CF4C4E" w:rsidRDefault="00F77324" w:rsidP="00CF4C4E">
            <w:pPr>
              <w:rPr>
                <w:sz w:val="20"/>
                <w:szCs w:val="20"/>
                <w:lang w:val="en-GB"/>
              </w:rPr>
            </w:pPr>
            <w:r w:rsidRPr="00CF4C4E">
              <w:rPr>
                <w:sz w:val="20"/>
                <w:szCs w:val="20"/>
                <w:lang w:val="en-GB"/>
              </w:rPr>
              <w:t>IV quarter of 2022</w:t>
            </w:r>
          </w:p>
        </w:tc>
        <w:tc>
          <w:tcPr>
            <w:tcW w:w="548" w:type="pct"/>
          </w:tcPr>
          <w:p w:rsidR="00F77324" w:rsidRPr="00CF4C4E" w:rsidRDefault="00F77324" w:rsidP="00CF4C4E">
            <w:pPr>
              <w:rPr>
                <w:sz w:val="20"/>
                <w:szCs w:val="20"/>
                <w:lang w:val="en-GB"/>
              </w:rPr>
            </w:pPr>
            <w:r w:rsidRPr="00CF4C4E">
              <w:rPr>
                <w:sz w:val="20"/>
                <w:szCs w:val="20"/>
                <w:lang w:val="en-GB"/>
              </w:rPr>
              <w:t>Financed as part of regular activities of staff</w:t>
            </w:r>
          </w:p>
        </w:tc>
        <w:tc>
          <w:tcPr>
            <w:tcW w:w="403" w:type="pct"/>
          </w:tcPr>
          <w:p w:rsidR="00F77324" w:rsidRPr="00CF4C4E" w:rsidRDefault="00F77324" w:rsidP="00CF4C4E">
            <w:pPr>
              <w:rPr>
                <w:sz w:val="20"/>
                <w:szCs w:val="20"/>
                <w:lang w:val="en-GB"/>
              </w:rPr>
            </w:pPr>
          </w:p>
        </w:tc>
        <w:tc>
          <w:tcPr>
            <w:tcW w:w="672" w:type="pct"/>
          </w:tcPr>
          <w:p w:rsidR="00F77324" w:rsidRPr="00CF4C4E" w:rsidRDefault="00F77324" w:rsidP="00CF4C4E">
            <w:pPr>
              <w:rPr>
                <w:sz w:val="20"/>
                <w:szCs w:val="20"/>
                <w:lang w:val="en-GB"/>
              </w:rPr>
            </w:pPr>
          </w:p>
        </w:tc>
        <w:tc>
          <w:tcPr>
            <w:tcW w:w="600" w:type="pct"/>
          </w:tcPr>
          <w:p w:rsidR="00F77324" w:rsidRPr="00CF4C4E" w:rsidRDefault="00F77324" w:rsidP="00CF4C4E">
            <w:pPr>
              <w:rPr>
                <w:sz w:val="20"/>
                <w:szCs w:val="20"/>
                <w:lang w:val="en-GB"/>
              </w:rPr>
            </w:pPr>
          </w:p>
        </w:tc>
        <w:tc>
          <w:tcPr>
            <w:tcW w:w="712" w:type="pct"/>
          </w:tcPr>
          <w:p w:rsidR="00F77324" w:rsidRPr="00CF4C4E" w:rsidRDefault="00F77324" w:rsidP="00CF4C4E">
            <w:pPr>
              <w:rPr>
                <w:sz w:val="20"/>
                <w:szCs w:val="20"/>
                <w:lang w:val="en-GB"/>
              </w:rPr>
            </w:pPr>
          </w:p>
        </w:tc>
      </w:tr>
      <w:tr w:rsidR="00A9340A" w:rsidRPr="00CF4C4E" w:rsidTr="006B4500">
        <w:trPr>
          <w:trHeight w:val="140"/>
        </w:trPr>
        <w:tc>
          <w:tcPr>
            <w:tcW w:w="832" w:type="pct"/>
            <w:tcBorders>
              <w:left w:val="double" w:sz="4" w:space="0" w:color="auto"/>
            </w:tcBorders>
          </w:tcPr>
          <w:p w:rsidR="00A9340A" w:rsidRPr="00CF4C4E" w:rsidRDefault="00A9340A" w:rsidP="00CF4C4E">
            <w:pPr>
              <w:rPr>
                <w:sz w:val="20"/>
                <w:szCs w:val="20"/>
                <w:lang w:val="en-GB"/>
              </w:rPr>
            </w:pPr>
            <w:r w:rsidRPr="00CF4C4E">
              <w:rPr>
                <w:sz w:val="20"/>
                <w:szCs w:val="20"/>
                <w:lang w:val="en-GB"/>
              </w:rPr>
              <w:t xml:space="preserve">1.3.2 Cooperate, including through collection of information on comparative practices in other countries, especially countries of the region, on issues relevant for the </w:t>
            </w:r>
            <w:r w:rsidRPr="00CF4C4E">
              <w:rPr>
                <w:sz w:val="20"/>
                <w:szCs w:val="20"/>
                <w:lang w:val="en-GB"/>
              </w:rPr>
              <w:lastRenderedPageBreak/>
              <w:t>implementation of priority analyses and the NRA exercise</w:t>
            </w:r>
          </w:p>
        </w:tc>
        <w:tc>
          <w:tcPr>
            <w:tcW w:w="398" w:type="pct"/>
          </w:tcPr>
          <w:p w:rsidR="00A9340A" w:rsidRPr="00CF4C4E" w:rsidRDefault="00A9340A" w:rsidP="00CF4C4E">
            <w:pPr>
              <w:rPr>
                <w:sz w:val="20"/>
                <w:szCs w:val="20"/>
                <w:lang w:val="en-GB"/>
              </w:rPr>
            </w:pPr>
            <w:r w:rsidRPr="00CF4C4E">
              <w:rPr>
                <w:sz w:val="20"/>
                <w:szCs w:val="20"/>
                <w:lang w:val="en-GB"/>
              </w:rPr>
              <w:lastRenderedPageBreak/>
              <w:t>AML/CFT CB</w:t>
            </w:r>
          </w:p>
        </w:tc>
        <w:tc>
          <w:tcPr>
            <w:tcW w:w="431" w:type="pct"/>
          </w:tcPr>
          <w:p w:rsidR="00A9340A" w:rsidRPr="00CF4C4E" w:rsidRDefault="00A9340A" w:rsidP="00CF4C4E">
            <w:pPr>
              <w:rPr>
                <w:sz w:val="20"/>
                <w:szCs w:val="20"/>
                <w:lang w:val="en-GB"/>
              </w:rPr>
            </w:pPr>
          </w:p>
        </w:tc>
        <w:tc>
          <w:tcPr>
            <w:tcW w:w="404" w:type="pct"/>
          </w:tcPr>
          <w:p w:rsidR="00A9340A" w:rsidRPr="00CF4C4E" w:rsidRDefault="00A9340A" w:rsidP="00CF4C4E">
            <w:pPr>
              <w:rPr>
                <w:sz w:val="20"/>
                <w:szCs w:val="20"/>
                <w:lang w:val="en-GB"/>
              </w:rPr>
            </w:pPr>
            <w:r w:rsidRPr="00CF4C4E">
              <w:rPr>
                <w:sz w:val="20"/>
                <w:szCs w:val="20"/>
                <w:lang w:val="en-GB"/>
              </w:rPr>
              <w:t>IV quarter of 2022</w:t>
            </w:r>
          </w:p>
        </w:tc>
        <w:tc>
          <w:tcPr>
            <w:tcW w:w="548" w:type="pct"/>
          </w:tcPr>
          <w:p w:rsidR="00A9340A" w:rsidRPr="00CF4C4E" w:rsidRDefault="00A9340A" w:rsidP="00CF4C4E">
            <w:pPr>
              <w:rPr>
                <w:sz w:val="20"/>
                <w:szCs w:val="20"/>
                <w:lang w:val="en-GB"/>
              </w:rPr>
            </w:pPr>
            <w:r w:rsidRPr="00CF4C4E">
              <w:rPr>
                <w:sz w:val="20"/>
                <w:szCs w:val="20"/>
                <w:lang w:val="en-GB"/>
              </w:rPr>
              <w:t>Financed as part of regular activities of staff</w:t>
            </w:r>
          </w:p>
        </w:tc>
        <w:tc>
          <w:tcPr>
            <w:tcW w:w="403" w:type="pct"/>
          </w:tcPr>
          <w:p w:rsidR="00A9340A" w:rsidRPr="00CF4C4E" w:rsidRDefault="00A9340A" w:rsidP="00CF4C4E">
            <w:pPr>
              <w:rPr>
                <w:sz w:val="20"/>
                <w:szCs w:val="20"/>
                <w:lang w:val="en-GB"/>
              </w:rPr>
            </w:pPr>
          </w:p>
        </w:tc>
        <w:tc>
          <w:tcPr>
            <w:tcW w:w="672" w:type="pct"/>
          </w:tcPr>
          <w:p w:rsidR="00A9340A" w:rsidRPr="00CF4C4E" w:rsidRDefault="00A9340A" w:rsidP="00CF4C4E">
            <w:pPr>
              <w:rPr>
                <w:sz w:val="20"/>
                <w:szCs w:val="20"/>
                <w:lang w:val="en-GB"/>
              </w:rPr>
            </w:pPr>
          </w:p>
        </w:tc>
        <w:tc>
          <w:tcPr>
            <w:tcW w:w="600" w:type="pct"/>
          </w:tcPr>
          <w:p w:rsidR="00A9340A" w:rsidRPr="00CF4C4E" w:rsidRDefault="00A9340A" w:rsidP="00CF4C4E">
            <w:pPr>
              <w:rPr>
                <w:sz w:val="20"/>
                <w:szCs w:val="20"/>
                <w:lang w:val="en-GB"/>
              </w:rPr>
            </w:pPr>
          </w:p>
        </w:tc>
        <w:tc>
          <w:tcPr>
            <w:tcW w:w="712" w:type="pct"/>
          </w:tcPr>
          <w:p w:rsidR="00A9340A" w:rsidRPr="00CF4C4E" w:rsidRDefault="00A9340A" w:rsidP="00CF4C4E">
            <w:pPr>
              <w:rPr>
                <w:sz w:val="20"/>
                <w:szCs w:val="20"/>
                <w:lang w:val="en-GB"/>
              </w:rPr>
            </w:pPr>
          </w:p>
        </w:tc>
      </w:tr>
      <w:tr w:rsidR="00A9340A" w:rsidRPr="00CF4C4E" w:rsidTr="006B4500">
        <w:trPr>
          <w:trHeight w:val="543"/>
        </w:trPr>
        <w:tc>
          <w:tcPr>
            <w:tcW w:w="832" w:type="pct"/>
            <w:tcBorders>
              <w:left w:val="double" w:sz="4" w:space="0" w:color="auto"/>
            </w:tcBorders>
          </w:tcPr>
          <w:p w:rsidR="00A9340A" w:rsidRPr="00CF4C4E" w:rsidRDefault="00A9340A" w:rsidP="00CF4C4E">
            <w:pPr>
              <w:rPr>
                <w:rFonts w:eastAsia="Times New Roman"/>
                <w:sz w:val="20"/>
                <w:szCs w:val="20"/>
                <w:lang w:val="en-GB"/>
              </w:rPr>
            </w:pPr>
            <w:r w:rsidRPr="00CF4C4E">
              <w:rPr>
                <w:rFonts w:eastAsia="Times New Roman"/>
                <w:sz w:val="20"/>
                <w:szCs w:val="20"/>
                <w:lang w:val="en-GB"/>
              </w:rPr>
              <w:lastRenderedPageBreak/>
              <w:t>1.3.3 Signature of information sharing MOUs between national supervisory authorities and foreign supervisors in the AML/CFT area</w:t>
            </w:r>
          </w:p>
        </w:tc>
        <w:tc>
          <w:tcPr>
            <w:tcW w:w="398" w:type="pct"/>
          </w:tcPr>
          <w:p w:rsidR="00A9340A" w:rsidRPr="00CF4C4E" w:rsidRDefault="00A9340A" w:rsidP="00CF4C4E">
            <w:pPr>
              <w:rPr>
                <w:sz w:val="20"/>
                <w:szCs w:val="20"/>
                <w:lang w:val="en-GB"/>
              </w:rPr>
            </w:pPr>
            <w:r w:rsidRPr="00CF4C4E">
              <w:rPr>
                <w:sz w:val="20"/>
                <w:szCs w:val="20"/>
                <w:lang w:val="en-GB"/>
              </w:rPr>
              <w:t>AML/CFT CB</w:t>
            </w:r>
          </w:p>
        </w:tc>
        <w:tc>
          <w:tcPr>
            <w:tcW w:w="431" w:type="pct"/>
          </w:tcPr>
          <w:p w:rsidR="00A9340A" w:rsidRPr="00CF4C4E" w:rsidRDefault="00A9340A" w:rsidP="00CF4C4E">
            <w:pPr>
              <w:rPr>
                <w:sz w:val="20"/>
                <w:szCs w:val="20"/>
                <w:lang w:val="en-GB"/>
              </w:rPr>
            </w:pPr>
            <w:r w:rsidRPr="00CF4C4E">
              <w:rPr>
                <w:sz w:val="20"/>
                <w:szCs w:val="20"/>
                <w:lang w:val="en-GB"/>
              </w:rPr>
              <w:t>Supervisory authorities</w:t>
            </w:r>
          </w:p>
        </w:tc>
        <w:tc>
          <w:tcPr>
            <w:tcW w:w="404" w:type="pct"/>
          </w:tcPr>
          <w:p w:rsidR="00A9340A" w:rsidRPr="00CF4C4E" w:rsidRDefault="00A9340A" w:rsidP="00CF4C4E">
            <w:pPr>
              <w:rPr>
                <w:sz w:val="20"/>
                <w:szCs w:val="20"/>
                <w:lang w:val="en-GB"/>
              </w:rPr>
            </w:pPr>
            <w:r w:rsidRPr="00CF4C4E">
              <w:rPr>
                <w:sz w:val="20"/>
                <w:szCs w:val="20"/>
                <w:lang w:val="en-GB"/>
              </w:rPr>
              <w:t>IV quarter of 2022</w:t>
            </w:r>
          </w:p>
        </w:tc>
        <w:tc>
          <w:tcPr>
            <w:tcW w:w="548" w:type="pct"/>
          </w:tcPr>
          <w:p w:rsidR="00A9340A" w:rsidRPr="00CF4C4E" w:rsidRDefault="00A9340A" w:rsidP="00CF4C4E">
            <w:pPr>
              <w:rPr>
                <w:sz w:val="20"/>
                <w:szCs w:val="20"/>
                <w:lang w:val="en-GB"/>
              </w:rPr>
            </w:pPr>
            <w:r w:rsidRPr="00CF4C4E">
              <w:rPr>
                <w:sz w:val="20"/>
                <w:szCs w:val="20"/>
                <w:lang w:val="en-GB"/>
              </w:rPr>
              <w:t>Financed as part of regular activities of staff</w:t>
            </w:r>
          </w:p>
        </w:tc>
        <w:tc>
          <w:tcPr>
            <w:tcW w:w="403" w:type="pct"/>
          </w:tcPr>
          <w:p w:rsidR="00A9340A" w:rsidRPr="00CF4C4E" w:rsidRDefault="00A9340A" w:rsidP="00CF4C4E">
            <w:pPr>
              <w:rPr>
                <w:sz w:val="20"/>
                <w:szCs w:val="20"/>
                <w:lang w:val="en-GB"/>
              </w:rPr>
            </w:pPr>
          </w:p>
        </w:tc>
        <w:tc>
          <w:tcPr>
            <w:tcW w:w="672" w:type="pct"/>
          </w:tcPr>
          <w:p w:rsidR="00A9340A" w:rsidRPr="00CF4C4E" w:rsidRDefault="00A9340A" w:rsidP="00CF4C4E">
            <w:pPr>
              <w:rPr>
                <w:sz w:val="20"/>
                <w:szCs w:val="20"/>
                <w:lang w:val="en-GB"/>
              </w:rPr>
            </w:pPr>
          </w:p>
        </w:tc>
        <w:tc>
          <w:tcPr>
            <w:tcW w:w="600" w:type="pct"/>
          </w:tcPr>
          <w:p w:rsidR="00A9340A" w:rsidRPr="00CF4C4E" w:rsidRDefault="00A9340A" w:rsidP="00CF4C4E">
            <w:pPr>
              <w:rPr>
                <w:sz w:val="20"/>
                <w:szCs w:val="20"/>
                <w:lang w:val="en-GB"/>
              </w:rPr>
            </w:pPr>
          </w:p>
        </w:tc>
        <w:tc>
          <w:tcPr>
            <w:tcW w:w="712" w:type="pct"/>
          </w:tcPr>
          <w:p w:rsidR="00A9340A" w:rsidRPr="00CF4C4E" w:rsidRDefault="00A9340A" w:rsidP="00CF4C4E">
            <w:pPr>
              <w:rPr>
                <w:sz w:val="20"/>
                <w:szCs w:val="20"/>
                <w:lang w:val="en-GB"/>
              </w:rPr>
            </w:pPr>
          </w:p>
        </w:tc>
      </w:tr>
      <w:tr w:rsidR="00F77324" w:rsidRPr="00CF4C4E" w:rsidTr="006B4500">
        <w:trPr>
          <w:trHeight w:val="140"/>
        </w:trPr>
        <w:tc>
          <w:tcPr>
            <w:tcW w:w="832" w:type="pct"/>
            <w:tcBorders>
              <w:left w:val="double" w:sz="4" w:space="0" w:color="auto"/>
            </w:tcBorders>
          </w:tcPr>
          <w:p w:rsidR="00F77324" w:rsidRPr="00CF4C4E" w:rsidRDefault="000B0100" w:rsidP="00CF4C4E">
            <w:pPr>
              <w:rPr>
                <w:sz w:val="20"/>
                <w:szCs w:val="20"/>
                <w:lang w:val="en-GB"/>
              </w:rPr>
            </w:pPr>
            <w:r w:rsidRPr="00CF4C4E">
              <w:rPr>
                <w:sz w:val="20"/>
                <w:szCs w:val="20"/>
                <w:lang w:val="en-GB"/>
              </w:rPr>
              <w:t>1.3.4 Enter into asset sharing agreements with other countries</w:t>
            </w:r>
          </w:p>
        </w:tc>
        <w:tc>
          <w:tcPr>
            <w:tcW w:w="398" w:type="pct"/>
          </w:tcPr>
          <w:p w:rsidR="00F77324" w:rsidRPr="00CF4C4E" w:rsidRDefault="00A9340A" w:rsidP="00CF4C4E">
            <w:pPr>
              <w:rPr>
                <w:sz w:val="20"/>
                <w:szCs w:val="20"/>
                <w:lang w:val="en-GB"/>
              </w:rPr>
            </w:pPr>
            <w:r w:rsidRPr="00CF4C4E">
              <w:rPr>
                <w:sz w:val="20"/>
                <w:szCs w:val="20"/>
                <w:lang w:val="en-GB"/>
              </w:rPr>
              <w:t>MoJ</w:t>
            </w:r>
          </w:p>
        </w:tc>
        <w:tc>
          <w:tcPr>
            <w:tcW w:w="431" w:type="pct"/>
          </w:tcPr>
          <w:p w:rsidR="00F77324" w:rsidRPr="00CF4C4E" w:rsidRDefault="00F77324" w:rsidP="00CF4C4E">
            <w:pPr>
              <w:rPr>
                <w:sz w:val="20"/>
                <w:szCs w:val="20"/>
                <w:lang w:val="en-GB"/>
              </w:rPr>
            </w:pPr>
          </w:p>
        </w:tc>
        <w:tc>
          <w:tcPr>
            <w:tcW w:w="404" w:type="pct"/>
          </w:tcPr>
          <w:p w:rsidR="00F77324" w:rsidRPr="00CF4C4E" w:rsidRDefault="00F77324" w:rsidP="00CF4C4E">
            <w:pPr>
              <w:rPr>
                <w:sz w:val="20"/>
                <w:szCs w:val="20"/>
                <w:lang w:val="en-GB"/>
              </w:rPr>
            </w:pPr>
            <w:r w:rsidRPr="00CF4C4E">
              <w:rPr>
                <w:sz w:val="20"/>
                <w:szCs w:val="20"/>
                <w:lang w:val="en-GB"/>
              </w:rPr>
              <w:t>IV quarter of 2022</w:t>
            </w:r>
          </w:p>
        </w:tc>
        <w:tc>
          <w:tcPr>
            <w:tcW w:w="548" w:type="pct"/>
          </w:tcPr>
          <w:p w:rsidR="00F77324" w:rsidRPr="00CF4C4E" w:rsidRDefault="00F77324" w:rsidP="00CF4C4E">
            <w:pPr>
              <w:rPr>
                <w:sz w:val="20"/>
                <w:szCs w:val="20"/>
                <w:lang w:val="en-GB"/>
              </w:rPr>
            </w:pPr>
            <w:r w:rsidRPr="00CF4C4E">
              <w:rPr>
                <w:sz w:val="20"/>
                <w:szCs w:val="20"/>
                <w:lang w:val="en-GB"/>
              </w:rPr>
              <w:t>Financed as part of regular activities of staff</w:t>
            </w:r>
          </w:p>
        </w:tc>
        <w:tc>
          <w:tcPr>
            <w:tcW w:w="403" w:type="pct"/>
          </w:tcPr>
          <w:p w:rsidR="00F77324" w:rsidRPr="00CF4C4E" w:rsidRDefault="00F77324" w:rsidP="00CF4C4E">
            <w:pPr>
              <w:rPr>
                <w:sz w:val="20"/>
                <w:szCs w:val="20"/>
                <w:lang w:val="en-GB"/>
              </w:rPr>
            </w:pPr>
          </w:p>
        </w:tc>
        <w:tc>
          <w:tcPr>
            <w:tcW w:w="672" w:type="pct"/>
          </w:tcPr>
          <w:p w:rsidR="00F77324" w:rsidRPr="00CF4C4E" w:rsidRDefault="00F77324" w:rsidP="00CF4C4E">
            <w:pPr>
              <w:rPr>
                <w:sz w:val="20"/>
                <w:szCs w:val="20"/>
                <w:lang w:val="en-GB"/>
              </w:rPr>
            </w:pPr>
          </w:p>
        </w:tc>
        <w:tc>
          <w:tcPr>
            <w:tcW w:w="600" w:type="pct"/>
          </w:tcPr>
          <w:p w:rsidR="00F77324" w:rsidRPr="00CF4C4E" w:rsidRDefault="00F77324" w:rsidP="00CF4C4E">
            <w:pPr>
              <w:rPr>
                <w:sz w:val="20"/>
                <w:szCs w:val="20"/>
                <w:lang w:val="en-GB"/>
              </w:rPr>
            </w:pPr>
          </w:p>
        </w:tc>
        <w:tc>
          <w:tcPr>
            <w:tcW w:w="712" w:type="pct"/>
          </w:tcPr>
          <w:p w:rsidR="00F77324" w:rsidRPr="00CF4C4E" w:rsidRDefault="00F77324" w:rsidP="00CF4C4E">
            <w:pPr>
              <w:rPr>
                <w:sz w:val="20"/>
                <w:szCs w:val="20"/>
                <w:lang w:val="en-GB"/>
              </w:rPr>
            </w:pPr>
          </w:p>
        </w:tc>
      </w:tr>
      <w:tr w:rsidR="00A9340A" w:rsidRPr="00CF4C4E" w:rsidTr="006B4500">
        <w:trPr>
          <w:trHeight w:val="543"/>
          <w:tblHeader/>
        </w:trPr>
        <w:tc>
          <w:tcPr>
            <w:tcW w:w="832" w:type="pct"/>
            <w:tcBorders>
              <w:left w:val="double" w:sz="4" w:space="0" w:color="auto"/>
            </w:tcBorders>
          </w:tcPr>
          <w:p w:rsidR="00A9340A" w:rsidRPr="00CF4C4E" w:rsidRDefault="000B0100" w:rsidP="00CF4C4E">
            <w:pPr>
              <w:rPr>
                <w:rFonts w:eastAsia="Times New Roman"/>
                <w:sz w:val="20"/>
                <w:szCs w:val="20"/>
                <w:lang w:val="en-GB"/>
              </w:rPr>
            </w:pPr>
            <w:r w:rsidRPr="00CF4C4E">
              <w:rPr>
                <w:rFonts w:eastAsia="Times New Roman"/>
                <w:sz w:val="20"/>
                <w:szCs w:val="20"/>
                <w:lang w:val="en-GB"/>
              </w:rPr>
              <w:t>1.3.5 Review mechanisms for interagency cooperation and provide recommendations for its improvement</w:t>
            </w:r>
          </w:p>
        </w:tc>
        <w:tc>
          <w:tcPr>
            <w:tcW w:w="398" w:type="pct"/>
          </w:tcPr>
          <w:p w:rsidR="00A9340A" w:rsidRPr="00CF4C4E" w:rsidRDefault="00A9340A" w:rsidP="00CF4C4E">
            <w:pPr>
              <w:rPr>
                <w:sz w:val="20"/>
                <w:szCs w:val="20"/>
                <w:lang w:val="en-GB"/>
              </w:rPr>
            </w:pPr>
            <w:r w:rsidRPr="00CF4C4E">
              <w:rPr>
                <w:sz w:val="20"/>
                <w:szCs w:val="20"/>
                <w:lang w:val="en-GB"/>
              </w:rPr>
              <w:t>AML/CFT CB</w:t>
            </w:r>
          </w:p>
        </w:tc>
        <w:tc>
          <w:tcPr>
            <w:tcW w:w="431" w:type="pct"/>
          </w:tcPr>
          <w:p w:rsidR="00A9340A" w:rsidRPr="00CF4C4E" w:rsidRDefault="00BB04FA" w:rsidP="00CF4C4E">
            <w:pPr>
              <w:rPr>
                <w:sz w:val="20"/>
                <w:szCs w:val="20"/>
                <w:lang w:val="en-GB"/>
              </w:rPr>
            </w:pPr>
            <w:r w:rsidRPr="00CF4C4E">
              <w:rPr>
                <w:sz w:val="20"/>
                <w:szCs w:val="20"/>
                <w:lang w:val="en-GB"/>
              </w:rPr>
              <w:t>Relevant bodies and institutions</w:t>
            </w:r>
          </w:p>
        </w:tc>
        <w:tc>
          <w:tcPr>
            <w:tcW w:w="404" w:type="pct"/>
          </w:tcPr>
          <w:p w:rsidR="00A9340A" w:rsidRPr="00CF4C4E" w:rsidRDefault="00A9340A" w:rsidP="00CF4C4E">
            <w:pPr>
              <w:rPr>
                <w:sz w:val="20"/>
                <w:szCs w:val="20"/>
                <w:lang w:val="en-GB"/>
              </w:rPr>
            </w:pPr>
            <w:r w:rsidRPr="00CF4C4E">
              <w:rPr>
                <w:sz w:val="20"/>
                <w:szCs w:val="20"/>
                <w:lang w:val="en-GB"/>
              </w:rPr>
              <w:t>IV quarter of 2022</w:t>
            </w:r>
          </w:p>
        </w:tc>
        <w:tc>
          <w:tcPr>
            <w:tcW w:w="548" w:type="pct"/>
          </w:tcPr>
          <w:p w:rsidR="00A9340A" w:rsidRPr="00CF4C4E" w:rsidRDefault="00A9340A" w:rsidP="00CF4C4E">
            <w:pPr>
              <w:rPr>
                <w:sz w:val="20"/>
                <w:szCs w:val="20"/>
                <w:lang w:val="en-GB"/>
              </w:rPr>
            </w:pPr>
            <w:r w:rsidRPr="00CF4C4E">
              <w:rPr>
                <w:sz w:val="20"/>
                <w:szCs w:val="20"/>
                <w:lang w:val="en-GB"/>
              </w:rPr>
              <w:t>Financed as part of regular activities of staff</w:t>
            </w:r>
          </w:p>
        </w:tc>
        <w:tc>
          <w:tcPr>
            <w:tcW w:w="403" w:type="pct"/>
          </w:tcPr>
          <w:p w:rsidR="00A9340A" w:rsidRPr="00CF4C4E" w:rsidRDefault="00A9340A" w:rsidP="00CF4C4E">
            <w:pPr>
              <w:rPr>
                <w:sz w:val="20"/>
                <w:szCs w:val="20"/>
                <w:lang w:val="en-GB"/>
              </w:rPr>
            </w:pPr>
          </w:p>
        </w:tc>
        <w:tc>
          <w:tcPr>
            <w:tcW w:w="672" w:type="pct"/>
          </w:tcPr>
          <w:p w:rsidR="00A9340A" w:rsidRPr="00CF4C4E" w:rsidRDefault="00A9340A" w:rsidP="00CF4C4E">
            <w:pPr>
              <w:rPr>
                <w:sz w:val="20"/>
                <w:szCs w:val="20"/>
                <w:lang w:val="en-GB"/>
              </w:rPr>
            </w:pPr>
          </w:p>
        </w:tc>
        <w:tc>
          <w:tcPr>
            <w:tcW w:w="600" w:type="pct"/>
          </w:tcPr>
          <w:p w:rsidR="00A9340A" w:rsidRPr="00CF4C4E" w:rsidRDefault="00A9340A" w:rsidP="00CF4C4E">
            <w:pPr>
              <w:rPr>
                <w:sz w:val="20"/>
                <w:szCs w:val="20"/>
                <w:lang w:val="en-GB"/>
              </w:rPr>
            </w:pPr>
          </w:p>
        </w:tc>
        <w:tc>
          <w:tcPr>
            <w:tcW w:w="712" w:type="pct"/>
          </w:tcPr>
          <w:p w:rsidR="00A9340A" w:rsidRPr="00CF4C4E" w:rsidRDefault="00A9340A" w:rsidP="00CF4C4E">
            <w:pPr>
              <w:rPr>
                <w:sz w:val="20"/>
                <w:szCs w:val="20"/>
                <w:lang w:val="en-GB"/>
              </w:rPr>
            </w:pPr>
          </w:p>
        </w:tc>
      </w:tr>
      <w:tr w:rsidR="00A9340A" w:rsidRPr="00CF4C4E" w:rsidTr="006B4500">
        <w:trPr>
          <w:trHeight w:val="543"/>
          <w:tblHeader/>
        </w:trPr>
        <w:tc>
          <w:tcPr>
            <w:tcW w:w="832" w:type="pct"/>
            <w:tcBorders>
              <w:left w:val="double" w:sz="4" w:space="0" w:color="auto"/>
            </w:tcBorders>
          </w:tcPr>
          <w:p w:rsidR="00A9340A" w:rsidRPr="00CF4C4E" w:rsidRDefault="000B0100" w:rsidP="00CF4C4E">
            <w:pPr>
              <w:rPr>
                <w:rFonts w:eastAsia="Times New Roman"/>
                <w:sz w:val="20"/>
                <w:szCs w:val="20"/>
                <w:lang w:val="en-GB"/>
              </w:rPr>
            </w:pPr>
            <w:r w:rsidRPr="00CF4C4E">
              <w:rPr>
                <w:rFonts w:eastAsia="Times New Roman"/>
                <w:sz w:val="20"/>
                <w:szCs w:val="20"/>
                <w:lang w:val="en-GB"/>
              </w:rPr>
              <w:t>1.3.6 Establishment of expert teams in line with the Rules of Procedure of the AML/CFT Coordination Body</w:t>
            </w:r>
          </w:p>
        </w:tc>
        <w:tc>
          <w:tcPr>
            <w:tcW w:w="398" w:type="pct"/>
          </w:tcPr>
          <w:p w:rsidR="00A9340A" w:rsidRPr="00CF4C4E" w:rsidRDefault="00A9340A" w:rsidP="00CF4C4E">
            <w:pPr>
              <w:rPr>
                <w:sz w:val="20"/>
                <w:szCs w:val="20"/>
                <w:lang w:val="en-GB"/>
              </w:rPr>
            </w:pPr>
            <w:r w:rsidRPr="00CF4C4E">
              <w:rPr>
                <w:sz w:val="20"/>
                <w:szCs w:val="20"/>
                <w:lang w:val="en-GB"/>
              </w:rPr>
              <w:t>AML/CFT CB</w:t>
            </w:r>
          </w:p>
        </w:tc>
        <w:tc>
          <w:tcPr>
            <w:tcW w:w="431" w:type="pct"/>
          </w:tcPr>
          <w:p w:rsidR="00A9340A" w:rsidRPr="00CF4C4E" w:rsidRDefault="00BB04FA" w:rsidP="00CF4C4E">
            <w:pPr>
              <w:rPr>
                <w:sz w:val="20"/>
                <w:szCs w:val="20"/>
                <w:lang w:val="en-GB"/>
              </w:rPr>
            </w:pPr>
            <w:r w:rsidRPr="00CF4C4E">
              <w:rPr>
                <w:sz w:val="20"/>
                <w:szCs w:val="20"/>
                <w:lang w:val="en-GB"/>
              </w:rPr>
              <w:t>Relevant bodies and institutions</w:t>
            </w:r>
          </w:p>
        </w:tc>
        <w:tc>
          <w:tcPr>
            <w:tcW w:w="404" w:type="pct"/>
          </w:tcPr>
          <w:p w:rsidR="00A9340A" w:rsidRPr="00CF4C4E" w:rsidRDefault="00A9340A" w:rsidP="00CF4C4E">
            <w:pPr>
              <w:rPr>
                <w:sz w:val="20"/>
                <w:szCs w:val="20"/>
                <w:lang w:val="en-GB"/>
              </w:rPr>
            </w:pPr>
            <w:r w:rsidRPr="00CF4C4E">
              <w:rPr>
                <w:sz w:val="20"/>
                <w:szCs w:val="20"/>
                <w:lang w:val="en-GB"/>
              </w:rPr>
              <w:t>IV quarter of 2022</w:t>
            </w:r>
          </w:p>
        </w:tc>
        <w:tc>
          <w:tcPr>
            <w:tcW w:w="548" w:type="pct"/>
          </w:tcPr>
          <w:p w:rsidR="00A9340A" w:rsidRPr="00CF4C4E" w:rsidRDefault="00A9340A" w:rsidP="00CF4C4E">
            <w:pPr>
              <w:rPr>
                <w:sz w:val="20"/>
                <w:szCs w:val="20"/>
                <w:lang w:val="en-GB"/>
              </w:rPr>
            </w:pPr>
            <w:r w:rsidRPr="00CF4C4E">
              <w:rPr>
                <w:sz w:val="20"/>
                <w:szCs w:val="20"/>
                <w:lang w:val="en-GB"/>
              </w:rPr>
              <w:t>Financed as part of regular activities of staff</w:t>
            </w:r>
          </w:p>
        </w:tc>
        <w:tc>
          <w:tcPr>
            <w:tcW w:w="403" w:type="pct"/>
          </w:tcPr>
          <w:p w:rsidR="00A9340A" w:rsidRPr="00CF4C4E" w:rsidRDefault="00A9340A" w:rsidP="00CF4C4E">
            <w:pPr>
              <w:rPr>
                <w:sz w:val="20"/>
                <w:szCs w:val="20"/>
                <w:lang w:val="en-GB"/>
              </w:rPr>
            </w:pPr>
          </w:p>
        </w:tc>
        <w:tc>
          <w:tcPr>
            <w:tcW w:w="672" w:type="pct"/>
          </w:tcPr>
          <w:p w:rsidR="00A9340A" w:rsidRPr="00CF4C4E" w:rsidRDefault="00A9340A" w:rsidP="00CF4C4E">
            <w:pPr>
              <w:rPr>
                <w:sz w:val="20"/>
                <w:szCs w:val="20"/>
                <w:lang w:val="en-GB"/>
              </w:rPr>
            </w:pPr>
          </w:p>
        </w:tc>
        <w:tc>
          <w:tcPr>
            <w:tcW w:w="600" w:type="pct"/>
          </w:tcPr>
          <w:p w:rsidR="00A9340A" w:rsidRPr="00CF4C4E" w:rsidRDefault="00A9340A" w:rsidP="00CF4C4E">
            <w:pPr>
              <w:rPr>
                <w:sz w:val="20"/>
                <w:szCs w:val="20"/>
                <w:lang w:val="en-GB"/>
              </w:rPr>
            </w:pPr>
          </w:p>
        </w:tc>
        <w:tc>
          <w:tcPr>
            <w:tcW w:w="712" w:type="pct"/>
          </w:tcPr>
          <w:p w:rsidR="00A9340A" w:rsidRPr="00CF4C4E" w:rsidRDefault="00A9340A" w:rsidP="00CF4C4E">
            <w:pPr>
              <w:rPr>
                <w:sz w:val="20"/>
                <w:szCs w:val="20"/>
                <w:lang w:val="en-GB"/>
              </w:rPr>
            </w:pPr>
          </w:p>
        </w:tc>
      </w:tr>
      <w:tr w:rsidR="00A9340A" w:rsidRPr="00CF4C4E" w:rsidTr="006B4500">
        <w:trPr>
          <w:trHeight w:val="140"/>
        </w:trPr>
        <w:tc>
          <w:tcPr>
            <w:tcW w:w="832" w:type="pct"/>
            <w:tcBorders>
              <w:left w:val="double" w:sz="4" w:space="0" w:color="auto"/>
            </w:tcBorders>
          </w:tcPr>
          <w:p w:rsidR="00A9340A" w:rsidRPr="00CF4C4E" w:rsidRDefault="000B0100" w:rsidP="00CF4C4E">
            <w:pPr>
              <w:rPr>
                <w:sz w:val="20"/>
                <w:szCs w:val="20"/>
                <w:lang w:val="en-GB"/>
              </w:rPr>
            </w:pPr>
            <w:r w:rsidRPr="00CF4C4E">
              <w:rPr>
                <w:sz w:val="20"/>
                <w:szCs w:val="20"/>
                <w:lang w:val="en-GB"/>
              </w:rPr>
              <w:t>1.3.7 Improvement of knowledge and skills to use existing international cooperation mechanisms with the aim of identifying proceeds from crime</w:t>
            </w:r>
          </w:p>
        </w:tc>
        <w:tc>
          <w:tcPr>
            <w:tcW w:w="398" w:type="pct"/>
          </w:tcPr>
          <w:p w:rsidR="00A9340A" w:rsidRPr="00CF4C4E" w:rsidRDefault="00A9340A" w:rsidP="00CF4C4E">
            <w:pPr>
              <w:rPr>
                <w:sz w:val="20"/>
                <w:szCs w:val="20"/>
                <w:lang w:val="en-GB"/>
              </w:rPr>
            </w:pPr>
            <w:r w:rsidRPr="00CF4C4E">
              <w:rPr>
                <w:sz w:val="20"/>
                <w:szCs w:val="20"/>
                <w:lang w:val="en-GB"/>
              </w:rPr>
              <w:t>AML/CFT CB</w:t>
            </w:r>
          </w:p>
        </w:tc>
        <w:tc>
          <w:tcPr>
            <w:tcW w:w="431" w:type="pct"/>
          </w:tcPr>
          <w:p w:rsidR="00A9340A" w:rsidRPr="00CF4C4E" w:rsidRDefault="00BB04FA" w:rsidP="00CF4C4E">
            <w:pPr>
              <w:rPr>
                <w:sz w:val="20"/>
                <w:szCs w:val="20"/>
                <w:highlight w:val="yellow"/>
                <w:lang w:val="en-GB"/>
              </w:rPr>
            </w:pPr>
            <w:r w:rsidRPr="00CF4C4E">
              <w:rPr>
                <w:sz w:val="20"/>
                <w:szCs w:val="20"/>
                <w:lang w:val="en-GB"/>
              </w:rPr>
              <w:t>Relevant bodies and institutions</w:t>
            </w:r>
          </w:p>
        </w:tc>
        <w:tc>
          <w:tcPr>
            <w:tcW w:w="404" w:type="pct"/>
          </w:tcPr>
          <w:p w:rsidR="00A9340A" w:rsidRPr="00CF4C4E" w:rsidRDefault="00A9340A" w:rsidP="00CF4C4E">
            <w:pPr>
              <w:rPr>
                <w:sz w:val="20"/>
                <w:szCs w:val="20"/>
                <w:lang w:val="en-GB"/>
              </w:rPr>
            </w:pPr>
            <w:r w:rsidRPr="00CF4C4E">
              <w:rPr>
                <w:sz w:val="20"/>
                <w:szCs w:val="20"/>
                <w:lang w:val="en-GB"/>
              </w:rPr>
              <w:t>IV quarter of 2022</w:t>
            </w:r>
          </w:p>
        </w:tc>
        <w:tc>
          <w:tcPr>
            <w:tcW w:w="548" w:type="pct"/>
          </w:tcPr>
          <w:p w:rsidR="00A9340A" w:rsidRPr="00CF4C4E" w:rsidRDefault="00A9340A" w:rsidP="00CF4C4E">
            <w:pPr>
              <w:rPr>
                <w:sz w:val="20"/>
                <w:szCs w:val="20"/>
                <w:lang w:val="en-GB"/>
              </w:rPr>
            </w:pPr>
            <w:r w:rsidRPr="00CF4C4E">
              <w:rPr>
                <w:sz w:val="20"/>
                <w:szCs w:val="20"/>
                <w:lang w:val="en-GB"/>
              </w:rPr>
              <w:t>Financed as part of regular activities of staff</w:t>
            </w:r>
          </w:p>
        </w:tc>
        <w:tc>
          <w:tcPr>
            <w:tcW w:w="403" w:type="pct"/>
          </w:tcPr>
          <w:p w:rsidR="00A9340A" w:rsidRPr="00CF4C4E" w:rsidRDefault="00A9340A" w:rsidP="00CF4C4E">
            <w:pPr>
              <w:rPr>
                <w:sz w:val="20"/>
                <w:szCs w:val="20"/>
                <w:lang w:val="en-GB"/>
              </w:rPr>
            </w:pPr>
          </w:p>
        </w:tc>
        <w:tc>
          <w:tcPr>
            <w:tcW w:w="672" w:type="pct"/>
          </w:tcPr>
          <w:p w:rsidR="00A9340A" w:rsidRPr="00CF4C4E" w:rsidRDefault="00A9340A" w:rsidP="00CF4C4E">
            <w:pPr>
              <w:rPr>
                <w:sz w:val="20"/>
                <w:szCs w:val="20"/>
                <w:lang w:val="en-GB"/>
              </w:rPr>
            </w:pPr>
          </w:p>
        </w:tc>
        <w:tc>
          <w:tcPr>
            <w:tcW w:w="600" w:type="pct"/>
          </w:tcPr>
          <w:p w:rsidR="00A9340A" w:rsidRPr="00CF4C4E" w:rsidRDefault="00A9340A" w:rsidP="00CF4C4E">
            <w:pPr>
              <w:rPr>
                <w:sz w:val="20"/>
                <w:szCs w:val="20"/>
                <w:lang w:val="en-GB"/>
              </w:rPr>
            </w:pPr>
          </w:p>
        </w:tc>
        <w:tc>
          <w:tcPr>
            <w:tcW w:w="712" w:type="pct"/>
          </w:tcPr>
          <w:p w:rsidR="00A9340A" w:rsidRPr="00CF4C4E" w:rsidRDefault="00A9340A" w:rsidP="00CF4C4E">
            <w:pPr>
              <w:rPr>
                <w:sz w:val="20"/>
                <w:szCs w:val="20"/>
                <w:lang w:val="en-GB"/>
              </w:rPr>
            </w:pPr>
          </w:p>
        </w:tc>
      </w:tr>
    </w:tbl>
    <w:p w:rsidR="00F43ECD" w:rsidRPr="00CF4C4E" w:rsidRDefault="00F43ECD" w:rsidP="00CF4C4E">
      <w:pPr>
        <w:rPr>
          <w:sz w:val="20"/>
          <w:szCs w:val="20"/>
          <w:lang w:val="en-GB"/>
        </w:rPr>
      </w:pPr>
    </w:p>
    <w:tbl>
      <w:tblPr>
        <w:tblStyle w:val="TableGrid"/>
        <w:tblW w:w="5000" w:type="pct"/>
        <w:tblInd w:w="11" w:type="dxa"/>
        <w:tblLayout w:type="fixed"/>
        <w:tblLook w:val="04A0"/>
      </w:tblPr>
      <w:tblGrid>
        <w:gridCol w:w="3195"/>
        <w:gridCol w:w="1460"/>
        <w:gridCol w:w="1366"/>
        <w:gridCol w:w="978"/>
        <w:gridCol w:w="1177"/>
        <w:gridCol w:w="1296"/>
        <w:gridCol w:w="1525"/>
        <w:gridCol w:w="1559"/>
        <w:gridCol w:w="1619"/>
      </w:tblGrid>
      <w:tr w:rsidR="00F43ECD" w:rsidRPr="00CF4C4E" w:rsidTr="00F67792">
        <w:trPr>
          <w:trHeight w:val="168"/>
        </w:trPr>
        <w:tc>
          <w:tcPr>
            <w:tcW w:w="5000" w:type="pct"/>
            <w:gridSpan w:val="9"/>
            <w:tcBorders>
              <w:top w:val="double" w:sz="4" w:space="0" w:color="auto"/>
              <w:left w:val="double" w:sz="4" w:space="0" w:color="auto"/>
              <w:right w:val="double" w:sz="4" w:space="0" w:color="auto"/>
            </w:tcBorders>
            <w:shd w:val="clear" w:color="auto" w:fill="E5B8B7" w:themeFill="accent2" w:themeFillTint="66"/>
          </w:tcPr>
          <w:p w:rsidR="00F43ECD" w:rsidRPr="00CF4C4E" w:rsidRDefault="007F7FA4" w:rsidP="00CF4C4E">
            <w:pPr>
              <w:pStyle w:val="Heading3"/>
              <w:spacing w:before="0"/>
              <w:rPr>
                <w:rFonts w:cs="Times New Roman"/>
                <w:szCs w:val="20"/>
                <w:lang w:val="en-GB"/>
              </w:rPr>
            </w:pPr>
            <w:bookmarkStart w:id="5" w:name="_Toc32409909"/>
            <w:r w:rsidRPr="00CF4C4E">
              <w:rPr>
                <w:rFonts w:cs="Times New Roman"/>
                <w:szCs w:val="20"/>
                <w:lang w:val="en-GB"/>
              </w:rPr>
              <w:t>Measure 1.4:</w:t>
            </w:r>
            <w:r w:rsidRPr="00CF4C4E">
              <w:rPr>
                <w:rFonts w:cs="Times New Roman"/>
                <w:b w:val="0"/>
                <w:bCs w:val="0"/>
                <w:szCs w:val="20"/>
                <w:lang w:val="en-GB"/>
              </w:rPr>
              <w:t xml:space="preserve"> </w:t>
            </w:r>
            <w:r w:rsidRPr="00CF4C4E">
              <w:rPr>
                <w:rFonts w:cs="Times New Roman"/>
                <w:szCs w:val="20"/>
                <w:lang w:val="en-GB"/>
              </w:rPr>
              <w:t>Ensure compliance of the AML/CFT legislative and institutional mechanisms in practice with international standards</w:t>
            </w:r>
            <w:bookmarkEnd w:id="5"/>
          </w:p>
        </w:tc>
      </w:tr>
      <w:tr w:rsidR="00F43ECD" w:rsidRPr="00CF4C4E" w:rsidTr="00F67792">
        <w:trPr>
          <w:trHeight w:val="298"/>
        </w:trPr>
        <w:tc>
          <w:tcPr>
            <w:tcW w:w="5000" w:type="pct"/>
            <w:gridSpan w:val="9"/>
            <w:tcBorders>
              <w:top w:val="double" w:sz="4" w:space="0" w:color="auto"/>
              <w:left w:val="double" w:sz="4" w:space="0" w:color="auto"/>
              <w:bottom w:val="double" w:sz="4" w:space="0" w:color="auto"/>
              <w:right w:val="double" w:sz="4" w:space="0" w:color="auto"/>
            </w:tcBorders>
            <w:shd w:val="clear" w:color="auto" w:fill="E5B8B7" w:themeFill="accent2" w:themeFillTint="66"/>
          </w:tcPr>
          <w:p w:rsidR="00F43ECD" w:rsidRPr="00CF4C4E" w:rsidRDefault="00F43ECD" w:rsidP="00CF4C4E">
            <w:pPr>
              <w:rPr>
                <w:sz w:val="20"/>
                <w:szCs w:val="20"/>
                <w:lang w:val="en-GB"/>
              </w:rPr>
            </w:pPr>
            <w:r w:rsidRPr="00CF4C4E">
              <w:rPr>
                <w:sz w:val="20"/>
                <w:szCs w:val="20"/>
                <w:lang w:val="en-GB"/>
              </w:rPr>
              <w:t xml:space="preserve">Authority responsible for implementation (coordination of implementation) of the measure: </w:t>
            </w:r>
            <w:r w:rsidRPr="00CF4C4E">
              <w:rPr>
                <w:color w:val="222222"/>
                <w:sz w:val="20"/>
                <w:szCs w:val="20"/>
                <w:lang w:val="en-GB"/>
              </w:rPr>
              <w:t>Coordination Body for the Prevention of Money Laundering and the Financing of Terrorism (AML/CFT CB)</w:t>
            </w:r>
          </w:p>
        </w:tc>
      </w:tr>
      <w:tr w:rsidR="00F43ECD" w:rsidRPr="00CF4C4E" w:rsidTr="00F67792">
        <w:trPr>
          <w:trHeight w:val="298"/>
        </w:trPr>
        <w:tc>
          <w:tcPr>
            <w:tcW w:w="2469" w:type="pct"/>
            <w:gridSpan w:val="4"/>
            <w:tcBorders>
              <w:top w:val="double" w:sz="4" w:space="0" w:color="auto"/>
              <w:left w:val="double" w:sz="4" w:space="0" w:color="auto"/>
              <w:bottom w:val="double" w:sz="4" w:space="0" w:color="auto"/>
              <w:right w:val="double" w:sz="4" w:space="0" w:color="auto"/>
            </w:tcBorders>
            <w:shd w:val="clear" w:color="auto" w:fill="E5B8B7" w:themeFill="accent2" w:themeFillTint="66"/>
          </w:tcPr>
          <w:p w:rsidR="00F43ECD" w:rsidRPr="00CF4C4E" w:rsidRDefault="00F43ECD" w:rsidP="00CF4C4E">
            <w:pPr>
              <w:rPr>
                <w:sz w:val="20"/>
                <w:szCs w:val="20"/>
                <w:lang w:val="en-GB"/>
              </w:rPr>
            </w:pPr>
            <w:r w:rsidRPr="00CF4C4E">
              <w:rPr>
                <w:sz w:val="20"/>
                <w:szCs w:val="20"/>
                <w:lang w:val="en-GB"/>
              </w:rPr>
              <w:t>Implementation period: 2020-2022</w:t>
            </w:r>
          </w:p>
        </w:tc>
        <w:tc>
          <w:tcPr>
            <w:tcW w:w="2531" w:type="pct"/>
            <w:gridSpan w:val="5"/>
            <w:tcBorders>
              <w:top w:val="double" w:sz="4" w:space="0" w:color="auto"/>
              <w:left w:val="double" w:sz="4" w:space="0" w:color="auto"/>
              <w:bottom w:val="double" w:sz="4" w:space="0" w:color="auto"/>
              <w:right w:val="double" w:sz="4" w:space="0" w:color="auto"/>
            </w:tcBorders>
            <w:shd w:val="clear" w:color="auto" w:fill="E5B8B7" w:themeFill="accent2" w:themeFillTint="66"/>
          </w:tcPr>
          <w:p w:rsidR="00F43ECD" w:rsidRPr="00CF4C4E" w:rsidRDefault="00F43ECD" w:rsidP="00CF4C4E">
            <w:pPr>
              <w:rPr>
                <w:sz w:val="20"/>
                <w:szCs w:val="20"/>
                <w:lang w:val="en-GB"/>
              </w:rPr>
            </w:pPr>
            <w:r w:rsidRPr="00CF4C4E">
              <w:rPr>
                <w:sz w:val="20"/>
                <w:szCs w:val="20"/>
                <w:lang w:val="en-GB"/>
              </w:rPr>
              <w:t>Type of measure: Institutional-governance-organisational</w:t>
            </w:r>
          </w:p>
        </w:tc>
      </w:tr>
      <w:tr w:rsidR="004316AD" w:rsidRPr="00CF4C4E" w:rsidTr="00C802E4">
        <w:trPr>
          <w:trHeight w:val="950"/>
        </w:trPr>
        <w:tc>
          <w:tcPr>
            <w:tcW w:w="1127" w:type="pct"/>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lastRenderedPageBreak/>
              <w:t>Indicator(s) at the level of measure (result indicator):</w:t>
            </w:r>
          </w:p>
        </w:tc>
        <w:tc>
          <w:tcPr>
            <w:tcW w:w="515" w:type="pct"/>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Unit of measurement</w:t>
            </w:r>
          </w:p>
          <w:p w:rsidR="004316AD" w:rsidRPr="00CF4C4E" w:rsidRDefault="004316AD" w:rsidP="00CF4C4E">
            <w:pPr>
              <w:rPr>
                <w:sz w:val="20"/>
                <w:szCs w:val="20"/>
                <w:lang w:val="en-GB"/>
              </w:rPr>
            </w:pPr>
          </w:p>
        </w:tc>
        <w:tc>
          <w:tcPr>
            <w:tcW w:w="482" w:type="pct"/>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Source of verification</w:t>
            </w:r>
          </w:p>
        </w:tc>
        <w:tc>
          <w:tcPr>
            <w:tcW w:w="760" w:type="pct"/>
            <w:gridSpan w:val="2"/>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 xml:space="preserve">Base value </w:t>
            </w:r>
          </w:p>
        </w:tc>
        <w:tc>
          <w:tcPr>
            <w:tcW w:w="457" w:type="pct"/>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Base year</w:t>
            </w:r>
          </w:p>
        </w:tc>
        <w:tc>
          <w:tcPr>
            <w:tcW w:w="538" w:type="pct"/>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Target value in 2020</w:t>
            </w:r>
          </w:p>
        </w:tc>
        <w:tc>
          <w:tcPr>
            <w:tcW w:w="550" w:type="pct"/>
            <w:tcBorders>
              <w:top w:val="double" w:sz="4" w:space="0" w:color="auto"/>
              <w:right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Target value in 2021</w:t>
            </w:r>
          </w:p>
        </w:tc>
        <w:tc>
          <w:tcPr>
            <w:tcW w:w="571" w:type="pct"/>
            <w:tcBorders>
              <w:top w:val="double" w:sz="4" w:space="0" w:color="auto"/>
              <w:right w:val="double" w:sz="4" w:space="0" w:color="auto"/>
            </w:tcBorders>
            <w:shd w:val="clear" w:color="auto" w:fill="D9D9D9" w:themeFill="background1" w:themeFillShade="D9"/>
          </w:tcPr>
          <w:p w:rsidR="004316AD" w:rsidRPr="00CF4C4E" w:rsidRDefault="00885F9C" w:rsidP="00CF4C4E">
            <w:pPr>
              <w:rPr>
                <w:sz w:val="20"/>
                <w:szCs w:val="20"/>
                <w:lang w:val="en-GB"/>
              </w:rPr>
            </w:pPr>
            <w:r w:rsidRPr="00CF4C4E">
              <w:rPr>
                <w:sz w:val="20"/>
                <w:szCs w:val="20"/>
                <w:lang w:val="en-GB"/>
              </w:rPr>
              <w:t>Target value in 2022</w:t>
            </w:r>
          </w:p>
        </w:tc>
      </w:tr>
      <w:tr w:rsidR="00F43ECD" w:rsidRPr="00CF4C4E" w:rsidTr="00C802E4">
        <w:trPr>
          <w:trHeight w:val="302"/>
        </w:trPr>
        <w:tc>
          <w:tcPr>
            <w:tcW w:w="1127" w:type="pct"/>
            <w:tcBorders>
              <w:top w:val="double" w:sz="4" w:space="0" w:color="auto"/>
              <w:bottom w:val="double" w:sz="4" w:space="0" w:color="auto"/>
            </w:tcBorders>
            <w:shd w:val="clear" w:color="auto" w:fill="FFFFFF" w:themeFill="background1"/>
          </w:tcPr>
          <w:p w:rsidR="00F43ECD" w:rsidRPr="00CF4C4E" w:rsidRDefault="00F16B6E" w:rsidP="00CF4C4E">
            <w:pPr>
              <w:shd w:val="clear" w:color="auto" w:fill="FFFFFF" w:themeFill="background1"/>
              <w:rPr>
                <w:sz w:val="20"/>
                <w:szCs w:val="20"/>
                <w:lang w:val="en-GB"/>
              </w:rPr>
            </w:pPr>
            <w:r w:rsidRPr="00CF4C4E">
              <w:rPr>
                <w:sz w:val="20"/>
                <w:szCs w:val="20"/>
                <w:lang w:val="en-GB"/>
              </w:rPr>
              <w:t xml:space="preserve">Overall assessment of technical compliance of the Serbian AML/CFT system with international standards </w:t>
            </w:r>
          </w:p>
        </w:tc>
        <w:tc>
          <w:tcPr>
            <w:tcW w:w="515" w:type="pct"/>
            <w:tcBorders>
              <w:top w:val="double" w:sz="4" w:space="0" w:color="auto"/>
              <w:bottom w:val="double" w:sz="4" w:space="0" w:color="auto"/>
            </w:tcBorders>
            <w:shd w:val="clear" w:color="auto" w:fill="FFFFFF" w:themeFill="background1"/>
          </w:tcPr>
          <w:p w:rsidR="00F43ECD" w:rsidRPr="00CF4C4E" w:rsidRDefault="00F16B6E" w:rsidP="00CF4C4E">
            <w:pPr>
              <w:shd w:val="clear" w:color="auto" w:fill="FFFFFF" w:themeFill="background1"/>
              <w:rPr>
                <w:i/>
                <w:sz w:val="20"/>
                <w:szCs w:val="20"/>
                <w:lang w:val="en-GB"/>
              </w:rPr>
            </w:pPr>
            <w:r w:rsidRPr="00CF4C4E">
              <w:rPr>
                <w:i/>
                <w:iCs/>
                <w:sz w:val="20"/>
                <w:szCs w:val="20"/>
                <w:lang w:val="en-GB"/>
              </w:rPr>
              <w:t xml:space="preserve">Largely compliant </w:t>
            </w:r>
            <w:r w:rsidRPr="00CF4C4E">
              <w:rPr>
                <w:sz w:val="20"/>
                <w:szCs w:val="20"/>
                <w:lang w:val="en-GB"/>
              </w:rPr>
              <w:t xml:space="preserve">(LC) or </w:t>
            </w:r>
            <w:r w:rsidRPr="00CF4C4E">
              <w:rPr>
                <w:i/>
                <w:iCs/>
                <w:sz w:val="20"/>
                <w:szCs w:val="20"/>
                <w:lang w:val="en-GB"/>
              </w:rPr>
              <w:t xml:space="preserve">compliant </w:t>
            </w:r>
            <w:r w:rsidRPr="00CF4C4E">
              <w:rPr>
                <w:sz w:val="20"/>
                <w:szCs w:val="20"/>
                <w:lang w:val="en-GB"/>
              </w:rPr>
              <w:t>(C) ratings</w:t>
            </w:r>
          </w:p>
          <w:p w:rsidR="00050AB0" w:rsidRPr="00CF4C4E" w:rsidRDefault="00050AB0" w:rsidP="00CF4C4E">
            <w:pPr>
              <w:shd w:val="clear" w:color="auto" w:fill="FFFFFF" w:themeFill="background1"/>
              <w:rPr>
                <w:i/>
                <w:sz w:val="20"/>
                <w:szCs w:val="20"/>
                <w:lang w:val="en-GB"/>
              </w:rPr>
            </w:pPr>
          </w:p>
        </w:tc>
        <w:tc>
          <w:tcPr>
            <w:tcW w:w="482" w:type="pct"/>
            <w:tcBorders>
              <w:top w:val="double" w:sz="4" w:space="0" w:color="auto"/>
              <w:bottom w:val="double" w:sz="4" w:space="0" w:color="auto"/>
            </w:tcBorders>
            <w:shd w:val="clear" w:color="auto" w:fill="FFFFFF" w:themeFill="background1"/>
          </w:tcPr>
          <w:p w:rsidR="00F43ECD" w:rsidRPr="00CF4C4E" w:rsidRDefault="00F43ECD" w:rsidP="00CF4C4E">
            <w:pPr>
              <w:shd w:val="clear" w:color="auto" w:fill="FFFFFF" w:themeFill="background1"/>
              <w:rPr>
                <w:sz w:val="20"/>
                <w:szCs w:val="20"/>
                <w:lang w:val="en-GB"/>
              </w:rPr>
            </w:pPr>
            <w:r w:rsidRPr="00CF4C4E">
              <w:rPr>
                <w:sz w:val="20"/>
                <w:szCs w:val="20"/>
                <w:lang w:val="en-GB"/>
              </w:rPr>
              <w:t xml:space="preserve">Progress reports by competent authorities and Moneyval </w:t>
            </w:r>
          </w:p>
        </w:tc>
        <w:tc>
          <w:tcPr>
            <w:tcW w:w="760" w:type="pct"/>
            <w:gridSpan w:val="2"/>
            <w:tcBorders>
              <w:top w:val="double" w:sz="4" w:space="0" w:color="auto"/>
              <w:bottom w:val="double" w:sz="4" w:space="0" w:color="auto"/>
            </w:tcBorders>
            <w:shd w:val="clear" w:color="auto" w:fill="FFFFFF" w:themeFill="background1"/>
          </w:tcPr>
          <w:p w:rsidR="00F43ECD" w:rsidRPr="00CF4C4E" w:rsidRDefault="00050AB0" w:rsidP="00CF4C4E">
            <w:pPr>
              <w:shd w:val="clear" w:color="auto" w:fill="FFFFFF" w:themeFill="background1"/>
              <w:rPr>
                <w:sz w:val="20"/>
                <w:szCs w:val="20"/>
                <w:lang w:val="en-GB"/>
              </w:rPr>
            </w:pPr>
            <w:r w:rsidRPr="00CF4C4E">
              <w:rPr>
                <w:sz w:val="20"/>
                <w:szCs w:val="20"/>
                <w:lang w:val="en-GB"/>
              </w:rPr>
              <w:t>NC (non-compliant) – 0</w:t>
            </w:r>
          </w:p>
          <w:p w:rsidR="00050AB0" w:rsidRPr="00CF4C4E" w:rsidRDefault="00050AB0" w:rsidP="00CF4C4E">
            <w:pPr>
              <w:shd w:val="clear" w:color="auto" w:fill="FFFFFF" w:themeFill="background1"/>
              <w:rPr>
                <w:sz w:val="20"/>
                <w:szCs w:val="20"/>
                <w:lang w:val="en-GB"/>
              </w:rPr>
            </w:pPr>
            <w:r w:rsidRPr="00CF4C4E">
              <w:rPr>
                <w:sz w:val="20"/>
                <w:szCs w:val="20"/>
                <w:lang w:val="en-GB"/>
              </w:rPr>
              <w:t>PC (partially compliant) – 4</w:t>
            </w:r>
          </w:p>
          <w:p w:rsidR="00050AB0" w:rsidRPr="00CF4C4E" w:rsidRDefault="00050AB0" w:rsidP="00CF4C4E">
            <w:pPr>
              <w:shd w:val="clear" w:color="auto" w:fill="FFFFFF" w:themeFill="background1"/>
              <w:rPr>
                <w:sz w:val="20"/>
                <w:szCs w:val="20"/>
                <w:lang w:val="en-GB"/>
              </w:rPr>
            </w:pPr>
            <w:r w:rsidRPr="00CF4C4E">
              <w:rPr>
                <w:sz w:val="20"/>
                <w:szCs w:val="20"/>
                <w:lang w:val="en-GB"/>
              </w:rPr>
              <w:t>LC (largely compliant)– 31</w:t>
            </w:r>
          </w:p>
          <w:p w:rsidR="00050AB0" w:rsidRPr="00CF4C4E" w:rsidRDefault="00050AB0" w:rsidP="00CF4C4E">
            <w:pPr>
              <w:shd w:val="clear" w:color="auto" w:fill="FFFFFF" w:themeFill="background1"/>
              <w:rPr>
                <w:sz w:val="20"/>
                <w:szCs w:val="20"/>
                <w:lang w:val="en-GB"/>
              </w:rPr>
            </w:pPr>
            <w:r w:rsidRPr="00CF4C4E">
              <w:rPr>
                <w:sz w:val="20"/>
                <w:szCs w:val="20"/>
                <w:lang w:val="en-GB"/>
              </w:rPr>
              <w:t xml:space="preserve">C (compliant) – 5 </w:t>
            </w:r>
          </w:p>
        </w:tc>
        <w:tc>
          <w:tcPr>
            <w:tcW w:w="457" w:type="pct"/>
            <w:tcBorders>
              <w:top w:val="double" w:sz="4" w:space="0" w:color="auto"/>
              <w:bottom w:val="double" w:sz="4" w:space="0" w:color="auto"/>
            </w:tcBorders>
            <w:shd w:val="clear" w:color="auto" w:fill="FFFFFF" w:themeFill="background1"/>
          </w:tcPr>
          <w:p w:rsidR="00F43ECD" w:rsidRPr="00CF4C4E" w:rsidRDefault="00F3579D" w:rsidP="00CF4C4E">
            <w:pPr>
              <w:shd w:val="clear" w:color="auto" w:fill="FFFFFF" w:themeFill="background1"/>
              <w:rPr>
                <w:sz w:val="20"/>
                <w:szCs w:val="20"/>
                <w:lang w:val="en-GB"/>
              </w:rPr>
            </w:pPr>
            <w:r w:rsidRPr="00CF4C4E">
              <w:rPr>
                <w:sz w:val="20"/>
                <w:szCs w:val="20"/>
                <w:lang w:val="en-GB"/>
              </w:rPr>
              <w:t>2019</w:t>
            </w:r>
          </w:p>
        </w:tc>
        <w:tc>
          <w:tcPr>
            <w:tcW w:w="538" w:type="pct"/>
            <w:tcBorders>
              <w:top w:val="double" w:sz="4" w:space="0" w:color="auto"/>
              <w:bottom w:val="double" w:sz="4" w:space="0" w:color="auto"/>
            </w:tcBorders>
            <w:shd w:val="clear" w:color="auto" w:fill="FFFFFF" w:themeFill="background1"/>
          </w:tcPr>
          <w:p w:rsidR="00050AB0" w:rsidRPr="00CF4C4E" w:rsidRDefault="00050AB0" w:rsidP="00CF4C4E">
            <w:pPr>
              <w:shd w:val="clear" w:color="auto" w:fill="FFFFFF" w:themeFill="background1"/>
              <w:rPr>
                <w:sz w:val="20"/>
                <w:szCs w:val="20"/>
                <w:lang w:val="en-GB"/>
              </w:rPr>
            </w:pPr>
            <w:r w:rsidRPr="00CF4C4E">
              <w:rPr>
                <w:sz w:val="20"/>
                <w:szCs w:val="20"/>
                <w:lang w:val="en-GB"/>
              </w:rPr>
              <w:t>NC – 0</w:t>
            </w:r>
          </w:p>
          <w:p w:rsidR="00050AB0" w:rsidRPr="00CF4C4E" w:rsidRDefault="00050AB0" w:rsidP="00CF4C4E">
            <w:pPr>
              <w:shd w:val="clear" w:color="auto" w:fill="FFFFFF" w:themeFill="background1"/>
              <w:rPr>
                <w:sz w:val="20"/>
                <w:szCs w:val="20"/>
                <w:lang w:val="en-GB"/>
              </w:rPr>
            </w:pPr>
            <w:r w:rsidRPr="00CF4C4E">
              <w:rPr>
                <w:sz w:val="20"/>
                <w:szCs w:val="20"/>
                <w:lang w:val="en-GB"/>
              </w:rPr>
              <w:t>PC – 0</w:t>
            </w:r>
          </w:p>
          <w:p w:rsidR="00050AB0" w:rsidRPr="00CF4C4E" w:rsidRDefault="00050AB0" w:rsidP="00CF4C4E">
            <w:pPr>
              <w:shd w:val="clear" w:color="auto" w:fill="FFFFFF" w:themeFill="background1"/>
              <w:rPr>
                <w:sz w:val="20"/>
                <w:szCs w:val="20"/>
                <w:lang w:val="en-GB"/>
              </w:rPr>
            </w:pPr>
            <w:r w:rsidRPr="00CF4C4E">
              <w:rPr>
                <w:sz w:val="20"/>
                <w:szCs w:val="20"/>
                <w:lang w:val="en-GB"/>
              </w:rPr>
              <w:t>LC/С - 40</w:t>
            </w:r>
          </w:p>
          <w:p w:rsidR="00F43ECD" w:rsidRPr="00CF4C4E" w:rsidRDefault="00F43ECD" w:rsidP="00CF4C4E">
            <w:pPr>
              <w:shd w:val="clear" w:color="auto" w:fill="FFFFFF" w:themeFill="background1"/>
              <w:rPr>
                <w:sz w:val="20"/>
                <w:szCs w:val="20"/>
                <w:lang w:val="en-GB"/>
              </w:rPr>
            </w:pPr>
          </w:p>
        </w:tc>
        <w:tc>
          <w:tcPr>
            <w:tcW w:w="550" w:type="pct"/>
            <w:tcBorders>
              <w:top w:val="double" w:sz="4" w:space="0" w:color="auto"/>
              <w:bottom w:val="double" w:sz="4" w:space="0" w:color="auto"/>
              <w:right w:val="double" w:sz="4" w:space="0" w:color="auto"/>
            </w:tcBorders>
            <w:shd w:val="clear" w:color="auto" w:fill="FFFFFF" w:themeFill="background1"/>
          </w:tcPr>
          <w:p w:rsidR="00050AB0" w:rsidRPr="00CF4C4E" w:rsidRDefault="00050AB0" w:rsidP="00CF4C4E">
            <w:pPr>
              <w:shd w:val="clear" w:color="auto" w:fill="FFFFFF" w:themeFill="background1"/>
              <w:rPr>
                <w:sz w:val="20"/>
                <w:szCs w:val="20"/>
                <w:lang w:val="en-GB"/>
              </w:rPr>
            </w:pPr>
            <w:r w:rsidRPr="00CF4C4E">
              <w:rPr>
                <w:sz w:val="20"/>
                <w:szCs w:val="20"/>
                <w:lang w:val="en-GB"/>
              </w:rPr>
              <w:t>NC – 0</w:t>
            </w:r>
          </w:p>
          <w:p w:rsidR="00050AB0" w:rsidRPr="00CF4C4E" w:rsidRDefault="00050AB0" w:rsidP="00CF4C4E">
            <w:pPr>
              <w:shd w:val="clear" w:color="auto" w:fill="FFFFFF" w:themeFill="background1"/>
              <w:rPr>
                <w:sz w:val="20"/>
                <w:szCs w:val="20"/>
                <w:lang w:val="en-GB"/>
              </w:rPr>
            </w:pPr>
            <w:r w:rsidRPr="00CF4C4E">
              <w:rPr>
                <w:sz w:val="20"/>
                <w:szCs w:val="20"/>
                <w:lang w:val="en-GB"/>
              </w:rPr>
              <w:t>PC – 0</w:t>
            </w:r>
          </w:p>
          <w:p w:rsidR="00050AB0" w:rsidRPr="00CF4C4E" w:rsidRDefault="00050AB0" w:rsidP="00CF4C4E">
            <w:pPr>
              <w:shd w:val="clear" w:color="auto" w:fill="FFFFFF" w:themeFill="background1"/>
              <w:rPr>
                <w:sz w:val="20"/>
                <w:szCs w:val="20"/>
                <w:lang w:val="en-GB"/>
              </w:rPr>
            </w:pPr>
            <w:r w:rsidRPr="00CF4C4E">
              <w:rPr>
                <w:sz w:val="20"/>
                <w:szCs w:val="20"/>
                <w:lang w:val="en-GB"/>
              </w:rPr>
              <w:t>LC/С - 40</w:t>
            </w:r>
          </w:p>
          <w:p w:rsidR="00F43ECD" w:rsidRPr="00CF4C4E" w:rsidRDefault="00F43ECD" w:rsidP="00CF4C4E">
            <w:pPr>
              <w:shd w:val="clear" w:color="auto" w:fill="FFFFFF" w:themeFill="background1"/>
              <w:rPr>
                <w:sz w:val="20"/>
                <w:szCs w:val="20"/>
                <w:lang w:val="en-GB"/>
              </w:rPr>
            </w:pPr>
          </w:p>
        </w:tc>
        <w:tc>
          <w:tcPr>
            <w:tcW w:w="571" w:type="pct"/>
            <w:tcBorders>
              <w:top w:val="double" w:sz="4" w:space="0" w:color="auto"/>
              <w:bottom w:val="double" w:sz="4" w:space="0" w:color="auto"/>
              <w:right w:val="double" w:sz="4" w:space="0" w:color="auto"/>
            </w:tcBorders>
            <w:shd w:val="clear" w:color="auto" w:fill="FFFFFF" w:themeFill="background1"/>
          </w:tcPr>
          <w:p w:rsidR="00050AB0" w:rsidRPr="00CF4C4E" w:rsidRDefault="00050AB0" w:rsidP="00CF4C4E">
            <w:pPr>
              <w:shd w:val="clear" w:color="auto" w:fill="FFFFFF" w:themeFill="background1"/>
              <w:rPr>
                <w:sz w:val="20"/>
                <w:szCs w:val="20"/>
                <w:lang w:val="en-GB"/>
              </w:rPr>
            </w:pPr>
            <w:r w:rsidRPr="00CF4C4E">
              <w:rPr>
                <w:sz w:val="20"/>
                <w:szCs w:val="20"/>
                <w:lang w:val="en-GB"/>
              </w:rPr>
              <w:t>NC – 0</w:t>
            </w:r>
          </w:p>
          <w:p w:rsidR="00050AB0" w:rsidRPr="00CF4C4E" w:rsidRDefault="00050AB0" w:rsidP="00CF4C4E">
            <w:pPr>
              <w:shd w:val="clear" w:color="auto" w:fill="FFFFFF" w:themeFill="background1"/>
              <w:rPr>
                <w:sz w:val="20"/>
                <w:szCs w:val="20"/>
                <w:lang w:val="en-GB"/>
              </w:rPr>
            </w:pPr>
            <w:r w:rsidRPr="00CF4C4E">
              <w:rPr>
                <w:sz w:val="20"/>
                <w:szCs w:val="20"/>
                <w:lang w:val="en-GB"/>
              </w:rPr>
              <w:t>PC – 0</w:t>
            </w:r>
          </w:p>
          <w:p w:rsidR="00050AB0" w:rsidRPr="00CF4C4E" w:rsidRDefault="00050AB0" w:rsidP="00CF4C4E">
            <w:pPr>
              <w:shd w:val="clear" w:color="auto" w:fill="FFFFFF" w:themeFill="background1"/>
              <w:rPr>
                <w:sz w:val="20"/>
                <w:szCs w:val="20"/>
                <w:lang w:val="en-GB"/>
              </w:rPr>
            </w:pPr>
            <w:r w:rsidRPr="00CF4C4E">
              <w:rPr>
                <w:sz w:val="20"/>
                <w:szCs w:val="20"/>
                <w:lang w:val="en-GB"/>
              </w:rPr>
              <w:t>LC/С - 40</w:t>
            </w:r>
          </w:p>
          <w:p w:rsidR="00F43ECD" w:rsidRPr="00CF4C4E" w:rsidRDefault="00F43ECD" w:rsidP="00CF4C4E">
            <w:pPr>
              <w:shd w:val="clear" w:color="auto" w:fill="FFFFFF" w:themeFill="background1"/>
              <w:rPr>
                <w:sz w:val="20"/>
                <w:szCs w:val="20"/>
                <w:lang w:val="en-GB"/>
              </w:rPr>
            </w:pPr>
          </w:p>
        </w:tc>
      </w:tr>
    </w:tbl>
    <w:p w:rsidR="00F43ECD" w:rsidRPr="00CF4C4E" w:rsidRDefault="00F43ECD" w:rsidP="00CF4C4E">
      <w:pPr>
        <w:rPr>
          <w:sz w:val="20"/>
          <w:szCs w:val="20"/>
          <w:lang w:val="en-GB"/>
        </w:rPr>
      </w:pPr>
    </w:p>
    <w:tbl>
      <w:tblPr>
        <w:tblStyle w:val="TableGrid"/>
        <w:tblW w:w="5000" w:type="pct"/>
        <w:tblLayout w:type="fixed"/>
        <w:tblLook w:val="04A0"/>
      </w:tblPr>
      <w:tblGrid>
        <w:gridCol w:w="2392"/>
        <w:gridCol w:w="1117"/>
        <w:gridCol w:w="1262"/>
        <w:gridCol w:w="1157"/>
        <w:gridCol w:w="1692"/>
        <w:gridCol w:w="1276"/>
        <w:gridCol w:w="1843"/>
        <w:gridCol w:w="1701"/>
        <w:gridCol w:w="1735"/>
      </w:tblGrid>
      <w:tr w:rsidR="002E2CAF" w:rsidRPr="00CF4C4E" w:rsidTr="00DB3306">
        <w:trPr>
          <w:trHeight w:val="140"/>
          <w:tblHeader/>
        </w:trPr>
        <w:tc>
          <w:tcPr>
            <w:tcW w:w="844" w:type="pct"/>
            <w:vMerge w:val="restart"/>
            <w:tcBorders>
              <w:top w:val="double" w:sz="4" w:space="0" w:color="auto"/>
              <w:left w:val="double" w:sz="4" w:space="0" w:color="auto"/>
            </w:tcBorders>
            <w:shd w:val="clear" w:color="auto" w:fill="E5DFEC" w:themeFill="accent4" w:themeFillTint="33"/>
          </w:tcPr>
          <w:p w:rsidR="002E2CAF" w:rsidRPr="00CF4C4E" w:rsidRDefault="002E2CAF" w:rsidP="00CF4C4E">
            <w:pPr>
              <w:rPr>
                <w:b/>
                <w:sz w:val="20"/>
                <w:szCs w:val="20"/>
                <w:lang w:val="en-GB"/>
              </w:rPr>
            </w:pPr>
            <w:r w:rsidRPr="00CF4C4E">
              <w:rPr>
                <w:b/>
                <w:bCs/>
                <w:sz w:val="20"/>
                <w:szCs w:val="20"/>
                <w:lang w:val="en-GB"/>
              </w:rPr>
              <w:t>Activity title:</w:t>
            </w:r>
          </w:p>
        </w:tc>
        <w:tc>
          <w:tcPr>
            <w:tcW w:w="394" w:type="pct"/>
            <w:vMerge w:val="restart"/>
            <w:tcBorders>
              <w:top w:val="double" w:sz="4" w:space="0" w:color="auto"/>
            </w:tcBorders>
            <w:shd w:val="clear" w:color="auto" w:fill="E5DFEC" w:themeFill="accent4" w:themeFillTint="33"/>
          </w:tcPr>
          <w:p w:rsidR="002E2CAF" w:rsidRPr="00CF4C4E" w:rsidRDefault="002E2CAF" w:rsidP="00CF4C4E">
            <w:pPr>
              <w:rPr>
                <w:b/>
                <w:sz w:val="20"/>
                <w:szCs w:val="20"/>
                <w:lang w:val="en-GB"/>
              </w:rPr>
            </w:pPr>
            <w:r w:rsidRPr="00CF4C4E">
              <w:rPr>
                <w:b/>
                <w:bCs/>
                <w:sz w:val="20"/>
                <w:szCs w:val="20"/>
                <w:lang w:val="en-GB"/>
              </w:rPr>
              <w:t>Authority implementing the activity</w:t>
            </w:r>
          </w:p>
        </w:tc>
        <w:tc>
          <w:tcPr>
            <w:tcW w:w="445" w:type="pct"/>
            <w:vMerge w:val="restart"/>
            <w:tcBorders>
              <w:top w:val="double" w:sz="4" w:space="0" w:color="auto"/>
            </w:tcBorders>
            <w:shd w:val="clear" w:color="auto" w:fill="E5DFEC" w:themeFill="accent4" w:themeFillTint="33"/>
          </w:tcPr>
          <w:p w:rsidR="002E2CAF" w:rsidRPr="00CF4C4E" w:rsidRDefault="002E2CAF" w:rsidP="00CF4C4E">
            <w:pPr>
              <w:rPr>
                <w:b/>
                <w:sz w:val="20"/>
                <w:szCs w:val="20"/>
                <w:lang w:val="en-GB"/>
              </w:rPr>
            </w:pPr>
            <w:r w:rsidRPr="00CF4C4E">
              <w:rPr>
                <w:b/>
                <w:bCs/>
                <w:sz w:val="20"/>
                <w:szCs w:val="20"/>
                <w:lang w:val="en-GB"/>
              </w:rPr>
              <w:t>Partner authorities in the implementation of the activity</w:t>
            </w:r>
          </w:p>
        </w:tc>
        <w:tc>
          <w:tcPr>
            <w:tcW w:w="408" w:type="pct"/>
            <w:vMerge w:val="restart"/>
            <w:tcBorders>
              <w:top w:val="double" w:sz="4" w:space="0" w:color="auto"/>
            </w:tcBorders>
            <w:shd w:val="clear" w:color="auto" w:fill="E5DFEC" w:themeFill="accent4" w:themeFillTint="33"/>
          </w:tcPr>
          <w:p w:rsidR="002E2CAF" w:rsidRPr="00CF4C4E" w:rsidRDefault="002E2CAF" w:rsidP="00CF4C4E">
            <w:pPr>
              <w:jc w:val="center"/>
              <w:rPr>
                <w:b/>
                <w:sz w:val="20"/>
                <w:szCs w:val="20"/>
                <w:lang w:val="en-GB"/>
              </w:rPr>
            </w:pPr>
            <w:r w:rsidRPr="00CF4C4E">
              <w:rPr>
                <w:b/>
                <w:bCs/>
                <w:sz w:val="20"/>
                <w:szCs w:val="20"/>
                <w:lang w:val="en-GB"/>
              </w:rPr>
              <w:t>Deadline for completion of activity</w:t>
            </w:r>
          </w:p>
        </w:tc>
        <w:tc>
          <w:tcPr>
            <w:tcW w:w="597" w:type="pct"/>
            <w:vMerge w:val="restart"/>
            <w:tcBorders>
              <w:top w:val="double" w:sz="4" w:space="0" w:color="auto"/>
            </w:tcBorders>
            <w:shd w:val="clear" w:color="auto" w:fill="E5DFEC" w:themeFill="accent4" w:themeFillTint="33"/>
          </w:tcPr>
          <w:p w:rsidR="002E2CAF" w:rsidRPr="00CF4C4E" w:rsidRDefault="002E2CAF" w:rsidP="00CF4C4E">
            <w:pPr>
              <w:jc w:val="center"/>
              <w:rPr>
                <w:b/>
                <w:sz w:val="20"/>
                <w:szCs w:val="20"/>
                <w:lang w:val="en-GB"/>
              </w:rPr>
            </w:pPr>
            <w:r w:rsidRPr="00CF4C4E">
              <w:rPr>
                <w:b/>
                <w:bCs/>
                <w:sz w:val="20"/>
                <w:szCs w:val="20"/>
                <w:lang w:val="en-GB"/>
              </w:rPr>
              <w:t>Source of financing</w:t>
            </w:r>
          </w:p>
        </w:tc>
        <w:tc>
          <w:tcPr>
            <w:tcW w:w="450" w:type="pct"/>
            <w:vMerge w:val="restart"/>
            <w:tcBorders>
              <w:top w:val="double" w:sz="4" w:space="0" w:color="auto"/>
            </w:tcBorders>
            <w:shd w:val="clear" w:color="auto" w:fill="E5DFEC" w:themeFill="accent4" w:themeFillTint="33"/>
          </w:tcPr>
          <w:p w:rsidR="002E2CAF" w:rsidRPr="00CF4C4E" w:rsidRDefault="002E2CAF" w:rsidP="00CF4C4E">
            <w:pPr>
              <w:rPr>
                <w:b/>
                <w:sz w:val="20"/>
                <w:szCs w:val="20"/>
                <w:lang w:val="en-GB"/>
              </w:rPr>
            </w:pPr>
            <w:r w:rsidRPr="00CF4C4E">
              <w:rPr>
                <w:b/>
                <w:bCs/>
                <w:sz w:val="20"/>
                <w:szCs w:val="20"/>
                <w:lang w:val="en-GB"/>
              </w:rPr>
              <w:t>Link to programme budget</w:t>
            </w:r>
          </w:p>
          <w:p w:rsidR="002E2CAF" w:rsidRPr="00CF4C4E" w:rsidRDefault="002E2CAF" w:rsidP="00CF4C4E">
            <w:pPr>
              <w:jc w:val="center"/>
              <w:rPr>
                <w:b/>
                <w:sz w:val="20"/>
                <w:szCs w:val="20"/>
                <w:lang w:val="en-GB"/>
              </w:rPr>
            </w:pPr>
          </w:p>
        </w:tc>
        <w:tc>
          <w:tcPr>
            <w:tcW w:w="1862" w:type="pct"/>
            <w:gridSpan w:val="3"/>
            <w:tcBorders>
              <w:top w:val="double" w:sz="4" w:space="0" w:color="auto"/>
            </w:tcBorders>
            <w:shd w:val="clear" w:color="auto" w:fill="E5DFEC" w:themeFill="accent4" w:themeFillTint="33"/>
          </w:tcPr>
          <w:p w:rsidR="002E2CAF" w:rsidRPr="00CF4C4E" w:rsidRDefault="002E2CAF" w:rsidP="00CF4C4E">
            <w:pPr>
              <w:jc w:val="center"/>
              <w:rPr>
                <w:b/>
                <w:sz w:val="20"/>
                <w:szCs w:val="20"/>
                <w:lang w:val="en-GB"/>
              </w:rPr>
            </w:pPr>
            <w:r w:rsidRPr="00CF4C4E">
              <w:rPr>
                <w:b/>
                <w:bCs/>
                <w:sz w:val="20"/>
                <w:szCs w:val="20"/>
                <w:lang w:val="en-GB"/>
              </w:rPr>
              <w:t>Total assessed financial resources by source in RSD 000</w:t>
            </w:r>
          </w:p>
        </w:tc>
      </w:tr>
      <w:tr w:rsidR="00DB34B7" w:rsidRPr="00CF4C4E" w:rsidTr="00DB3306">
        <w:trPr>
          <w:trHeight w:val="386"/>
          <w:tblHeader/>
        </w:trPr>
        <w:tc>
          <w:tcPr>
            <w:tcW w:w="844" w:type="pct"/>
            <w:vMerge/>
            <w:tcBorders>
              <w:left w:val="double" w:sz="4" w:space="0" w:color="auto"/>
            </w:tcBorders>
            <w:shd w:val="clear" w:color="auto" w:fill="E5DFEC" w:themeFill="accent4" w:themeFillTint="33"/>
          </w:tcPr>
          <w:p w:rsidR="00DB34B7" w:rsidRPr="00CF4C4E" w:rsidRDefault="00DB34B7" w:rsidP="00CF4C4E">
            <w:pPr>
              <w:rPr>
                <w:sz w:val="20"/>
                <w:szCs w:val="20"/>
                <w:lang w:val="en-GB"/>
              </w:rPr>
            </w:pPr>
          </w:p>
        </w:tc>
        <w:tc>
          <w:tcPr>
            <w:tcW w:w="394" w:type="pct"/>
            <w:vMerge/>
            <w:shd w:val="clear" w:color="auto" w:fill="E5DFEC" w:themeFill="accent4" w:themeFillTint="33"/>
          </w:tcPr>
          <w:p w:rsidR="00DB34B7" w:rsidRPr="00CF4C4E" w:rsidRDefault="00DB34B7" w:rsidP="00CF4C4E">
            <w:pPr>
              <w:rPr>
                <w:sz w:val="20"/>
                <w:szCs w:val="20"/>
                <w:lang w:val="en-GB"/>
              </w:rPr>
            </w:pPr>
          </w:p>
        </w:tc>
        <w:tc>
          <w:tcPr>
            <w:tcW w:w="445" w:type="pct"/>
            <w:vMerge/>
            <w:shd w:val="clear" w:color="auto" w:fill="E5DFEC" w:themeFill="accent4" w:themeFillTint="33"/>
          </w:tcPr>
          <w:p w:rsidR="00DB34B7" w:rsidRPr="00CF4C4E" w:rsidRDefault="00DB34B7" w:rsidP="00CF4C4E">
            <w:pPr>
              <w:rPr>
                <w:sz w:val="20"/>
                <w:szCs w:val="20"/>
                <w:lang w:val="en-GB"/>
              </w:rPr>
            </w:pPr>
          </w:p>
        </w:tc>
        <w:tc>
          <w:tcPr>
            <w:tcW w:w="408" w:type="pct"/>
            <w:vMerge/>
            <w:shd w:val="clear" w:color="auto" w:fill="E5DFEC" w:themeFill="accent4" w:themeFillTint="33"/>
          </w:tcPr>
          <w:p w:rsidR="00DB34B7" w:rsidRPr="00CF4C4E" w:rsidRDefault="00DB34B7" w:rsidP="00CF4C4E">
            <w:pPr>
              <w:jc w:val="center"/>
              <w:rPr>
                <w:sz w:val="20"/>
                <w:szCs w:val="20"/>
                <w:lang w:val="en-GB"/>
              </w:rPr>
            </w:pPr>
          </w:p>
        </w:tc>
        <w:tc>
          <w:tcPr>
            <w:tcW w:w="597" w:type="pct"/>
            <w:vMerge/>
            <w:shd w:val="clear" w:color="auto" w:fill="E5DFEC" w:themeFill="accent4" w:themeFillTint="33"/>
          </w:tcPr>
          <w:p w:rsidR="00DB34B7" w:rsidRPr="00CF4C4E" w:rsidRDefault="00DB34B7" w:rsidP="00CF4C4E">
            <w:pPr>
              <w:jc w:val="center"/>
              <w:rPr>
                <w:sz w:val="20"/>
                <w:szCs w:val="20"/>
                <w:lang w:val="en-GB"/>
              </w:rPr>
            </w:pPr>
          </w:p>
        </w:tc>
        <w:tc>
          <w:tcPr>
            <w:tcW w:w="450" w:type="pct"/>
            <w:vMerge/>
            <w:shd w:val="clear" w:color="auto" w:fill="E5DFEC" w:themeFill="accent4" w:themeFillTint="33"/>
          </w:tcPr>
          <w:p w:rsidR="00DB34B7" w:rsidRPr="00CF4C4E" w:rsidRDefault="00DB34B7" w:rsidP="00CF4C4E">
            <w:pPr>
              <w:jc w:val="center"/>
              <w:rPr>
                <w:sz w:val="20"/>
                <w:szCs w:val="20"/>
                <w:lang w:val="en-GB"/>
              </w:rPr>
            </w:pPr>
          </w:p>
        </w:tc>
        <w:tc>
          <w:tcPr>
            <w:tcW w:w="650" w:type="pct"/>
            <w:shd w:val="clear" w:color="auto" w:fill="E5DFEC" w:themeFill="accent4" w:themeFillTint="33"/>
          </w:tcPr>
          <w:p w:rsidR="00DB34B7" w:rsidRPr="00CF4C4E" w:rsidRDefault="00DB34B7" w:rsidP="00CF4C4E">
            <w:pPr>
              <w:jc w:val="center"/>
              <w:rPr>
                <w:b/>
                <w:sz w:val="20"/>
                <w:szCs w:val="20"/>
                <w:lang w:val="en-GB"/>
              </w:rPr>
            </w:pPr>
            <w:r w:rsidRPr="00CF4C4E">
              <w:rPr>
                <w:b/>
                <w:bCs/>
                <w:sz w:val="20"/>
                <w:szCs w:val="20"/>
                <w:lang w:val="en-GB"/>
              </w:rPr>
              <w:t>2020</w:t>
            </w:r>
          </w:p>
        </w:tc>
        <w:tc>
          <w:tcPr>
            <w:tcW w:w="600" w:type="pct"/>
            <w:shd w:val="clear" w:color="auto" w:fill="E5DFEC" w:themeFill="accent4" w:themeFillTint="33"/>
          </w:tcPr>
          <w:p w:rsidR="00DB34B7" w:rsidRPr="00CF4C4E" w:rsidRDefault="00DB34B7" w:rsidP="00CF4C4E">
            <w:pPr>
              <w:jc w:val="center"/>
              <w:rPr>
                <w:b/>
                <w:sz w:val="20"/>
                <w:szCs w:val="20"/>
                <w:lang w:val="en-GB"/>
              </w:rPr>
            </w:pPr>
            <w:r w:rsidRPr="00CF4C4E">
              <w:rPr>
                <w:b/>
                <w:bCs/>
                <w:sz w:val="20"/>
                <w:szCs w:val="20"/>
                <w:lang w:val="en-GB"/>
              </w:rPr>
              <w:t>2021</w:t>
            </w:r>
          </w:p>
        </w:tc>
        <w:tc>
          <w:tcPr>
            <w:tcW w:w="612" w:type="pct"/>
            <w:shd w:val="clear" w:color="auto" w:fill="E5DFEC" w:themeFill="accent4" w:themeFillTint="33"/>
          </w:tcPr>
          <w:p w:rsidR="00DB34B7" w:rsidRPr="00CF4C4E" w:rsidRDefault="00DB34B7" w:rsidP="00CF4C4E">
            <w:pPr>
              <w:jc w:val="center"/>
              <w:rPr>
                <w:b/>
                <w:sz w:val="20"/>
                <w:szCs w:val="20"/>
                <w:lang w:val="en-GB"/>
              </w:rPr>
            </w:pPr>
            <w:r w:rsidRPr="00CF4C4E">
              <w:rPr>
                <w:b/>
                <w:bCs/>
                <w:sz w:val="20"/>
                <w:szCs w:val="20"/>
                <w:lang w:val="en-GB"/>
              </w:rPr>
              <w:t>2022</w:t>
            </w:r>
          </w:p>
          <w:p w:rsidR="00DB34B7" w:rsidRPr="00CF4C4E" w:rsidRDefault="00DB34B7" w:rsidP="00CF4C4E">
            <w:pPr>
              <w:jc w:val="center"/>
              <w:rPr>
                <w:b/>
                <w:sz w:val="20"/>
                <w:szCs w:val="20"/>
                <w:lang w:val="en-GB"/>
              </w:rPr>
            </w:pPr>
          </w:p>
        </w:tc>
      </w:tr>
      <w:tr w:rsidR="00A9340A" w:rsidRPr="00CF4C4E" w:rsidTr="00DB3306">
        <w:trPr>
          <w:trHeight w:val="1439"/>
          <w:tblHeader/>
        </w:trPr>
        <w:tc>
          <w:tcPr>
            <w:tcW w:w="844" w:type="pct"/>
            <w:tcBorders>
              <w:left w:val="double" w:sz="4" w:space="0" w:color="auto"/>
            </w:tcBorders>
          </w:tcPr>
          <w:p w:rsidR="00A9340A" w:rsidRPr="00CF4C4E" w:rsidRDefault="00A9340A" w:rsidP="00CF4C4E">
            <w:pPr>
              <w:rPr>
                <w:sz w:val="20"/>
                <w:szCs w:val="20"/>
                <w:lang w:val="en-GB"/>
              </w:rPr>
            </w:pPr>
            <w:r w:rsidRPr="00CF4C4E">
              <w:rPr>
                <w:sz w:val="20"/>
                <w:szCs w:val="20"/>
                <w:lang w:val="en-GB"/>
              </w:rPr>
              <w:t xml:space="preserve">1.4.1 Monitoring the level of compliance with international standards in the area of fight against money laundering and terrorism financing </w:t>
            </w:r>
          </w:p>
        </w:tc>
        <w:tc>
          <w:tcPr>
            <w:tcW w:w="394" w:type="pct"/>
          </w:tcPr>
          <w:p w:rsidR="00A9340A" w:rsidRPr="00CF4C4E" w:rsidRDefault="00A9340A" w:rsidP="00CF4C4E">
            <w:pPr>
              <w:rPr>
                <w:sz w:val="20"/>
                <w:szCs w:val="20"/>
                <w:lang w:val="en-GB"/>
              </w:rPr>
            </w:pPr>
            <w:r w:rsidRPr="00CF4C4E">
              <w:rPr>
                <w:sz w:val="20"/>
                <w:szCs w:val="20"/>
                <w:lang w:val="en-GB"/>
              </w:rPr>
              <w:t>AML/CFT CB</w:t>
            </w:r>
          </w:p>
        </w:tc>
        <w:tc>
          <w:tcPr>
            <w:tcW w:w="445" w:type="pct"/>
          </w:tcPr>
          <w:p w:rsidR="00A9340A" w:rsidRPr="00CF4C4E" w:rsidRDefault="00274562" w:rsidP="00CF4C4E">
            <w:pPr>
              <w:rPr>
                <w:sz w:val="20"/>
                <w:szCs w:val="20"/>
                <w:lang w:val="en-GB"/>
              </w:rPr>
            </w:pPr>
            <w:r w:rsidRPr="00CF4C4E">
              <w:rPr>
                <w:sz w:val="20"/>
                <w:szCs w:val="20"/>
                <w:lang w:val="en-GB"/>
              </w:rPr>
              <w:t>Relevant bodies and institutions</w:t>
            </w:r>
          </w:p>
        </w:tc>
        <w:tc>
          <w:tcPr>
            <w:tcW w:w="408" w:type="pct"/>
          </w:tcPr>
          <w:p w:rsidR="00A9340A" w:rsidRPr="00CF4C4E" w:rsidRDefault="00A9340A" w:rsidP="00CF4C4E">
            <w:pPr>
              <w:rPr>
                <w:sz w:val="20"/>
                <w:szCs w:val="20"/>
                <w:lang w:val="en-GB"/>
              </w:rPr>
            </w:pPr>
            <w:r w:rsidRPr="00CF4C4E">
              <w:rPr>
                <w:sz w:val="20"/>
                <w:szCs w:val="20"/>
                <w:lang w:val="en-GB"/>
              </w:rPr>
              <w:t>IV quarter of 2022</w:t>
            </w:r>
          </w:p>
        </w:tc>
        <w:tc>
          <w:tcPr>
            <w:tcW w:w="597" w:type="pct"/>
          </w:tcPr>
          <w:p w:rsidR="00A9340A" w:rsidRPr="00CF4C4E" w:rsidRDefault="00A9340A" w:rsidP="00CF4C4E">
            <w:pPr>
              <w:rPr>
                <w:sz w:val="20"/>
                <w:szCs w:val="20"/>
                <w:lang w:val="en-GB"/>
              </w:rPr>
            </w:pPr>
            <w:r w:rsidRPr="00CF4C4E">
              <w:rPr>
                <w:sz w:val="20"/>
                <w:szCs w:val="20"/>
                <w:lang w:val="en-GB"/>
              </w:rPr>
              <w:t>Financed as part of regular activities of staff</w:t>
            </w:r>
          </w:p>
          <w:p w:rsidR="00A9340A" w:rsidRPr="00CF4C4E" w:rsidRDefault="00A9340A" w:rsidP="00CF4C4E">
            <w:pPr>
              <w:rPr>
                <w:sz w:val="20"/>
                <w:szCs w:val="20"/>
                <w:lang w:val="en-GB"/>
              </w:rPr>
            </w:pPr>
          </w:p>
        </w:tc>
        <w:tc>
          <w:tcPr>
            <w:tcW w:w="450" w:type="pct"/>
          </w:tcPr>
          <w:p w:rsidR="00A9340A" w:rsidRPr="00CF4C4E" w:rsidRDefault="00A9340A" w:rsidP="00CF4C4E">
            <w:pPr>
              <w:rPr>
                <w:sz w:val="20"/>
                <w:szCs w:val="20"/>
                <w:lang w:val="en-GB"/>
              </w:rPr>
            </w:pPr>
          </w:p>
        </w:tc>
        <w:tc>
          <w:tcPr>
            <w:tcW w:w="650" w:type="pct"/>
          </w:tcPr>
          <w:p w:rsidR="00A9340A" w:rsidRPr="00CF4C4E" w:rsidRDefault="00A9340A" w:rsidP="00CF4C4E">
            <w:pPr>
              <w:rPr>
                <w:sz w:val="20"/>
                <w:szCs w:val="20"/>
                <w:lang w:val="en-GB"/>
              </w:rPr>
            </w:pPr>
          </w:p>
        </w:tc>
        <w:tc>
          <w:tcPr>
            <w:tcW w:w="600" w:type="pct"/>
          </w:tcPr>
          <w:p w:rsidR="00A9340A" w:rsidRPr="00CF4C4E" w:rsidRDefault="00A9340A" w:rsidP="00CF4C4E">
            <w:pPr>
              <w:rPr>
                <w:sz w:val="20"/>
                <w:szCs w:val="20"/>
                <w:lang w:val="en-GB"/>
              </w:rPr>
            </w:pPr>
          </w:p>
        </w:tc>
        <w:tc>
          <w:tcPr>
            <w:tcW w:w="612" w:type="pct"/>
          </w:tcPr>
          <w:p w:rsidR="00A9340A" w:rsidRPr="00CF4C4E" w:rsidRDefault="00A9340A" w:rsidP="00CF4C4E">
            <w:pPr>
              <w:rPr>
                <w:sz w:val="20"/>
                <w:szCs w:val="20"/>
                <w:lang w:val="en-GB"/>
              </w:rPr>
            </w:pPr>
          </w:p>
        </w:tc>
      </w:tr>
      <w:tr w:rsidR="00D13B96" w:rsidRPr="00CF4C4E" w:rsidTr="00DB3306">
        <w:trPr>
          <w:trHeight w:val="1124"/>
          <w:tblHeader/>
        </w:trPr>
        <w:tc>
          <w:tcPr>
            <w:tcW w:w="844" w:type="pct"/>
            <w:tcBorders>
              <w:left w:val="double" w:sz="4" w:space="0" w:color="auto"/>
            </w:tcBorders>
          </w:tcPr>
          <w:p w:rsidR="00D13B96" w:rsidRPr="00CF4C4E" w:rsidRDefault="00D13B96" w:rsidP="00CF4C4E">
            <w:pPr>
              <w:rPr>
                <w:sz w:val="20"/>
                <w:szCs w:val="20"/>
                <w:lang w:val="en-GB"/>
              </w:rPr>
            </w:pPr>
            <w:r w:rsidRPr="00CF4C4E">
              <w:rPr>
                <w:sz w:val="20"/>
                <w:szCs w:val="20"/>
                <w:lang w:val="en-GB"/>
              </w:rPr>
              <w:t>1.4.2 Initiating and supporting activities with the aim of implementing international recommendations</w:t>
            </w:r>
          </w:p>
        </w:tc>
        <w:tc>
          <w:tcPr>
            <w:tcW w:w="394" w:type="pct"/>
          </w:tcPr>
          <w:p w:rsidR="00D13B96" w:rsidRPr="00CF4C4E" w:rsidRDefault="00D13B96" w:rsidP="00CF4C4E">
            <w:pPr>
              <w:rPr>
                <w:sz w:val="20"/>
                <w:szCs w:val="20"/>
                <w:lang w:val="en-GB"/>
              </w:rPr>
            </w:pPr>
            <w:r w:rsidRPr="00CF4C4E">
              <w:rPr>
                <w:sz w:val="20"/>
                <w:szCs w:val="20"/>
                <w:lang w:val="en-GB"/>
              </w:rPr>
              <w:t>AML/CFT CB</w:t>
            </w:r>
          </w:p>
        </w:tc>
        <w:tc>
          <w:tcPr>
            <w:tcW w:w="445" w:type="pct"/>
          </w:tcPr>
          <w:p w:rsidR="00D13B96" w:rsidRPr="00CF4C4E" w:rsidRDefault="00274562" w:rsidP="00CF4C4E">
            <w:pPr>
              <w:rPr>
                <w:sz w:val="20"/>
                <w:szCs w:val="20"/>
                <w:lang w:val="en-GB"/>
              </w:rPr>
            </w:pPr>
            <w:r w:rsidRPr="00CF4C4E">
              <w:rPr>
                <w:sz w:val="20"/>
                <w:szCs w:val="20"/>
                <w:lang w:val="en-GB"/>
              </w:rPr>
              <w:t>Relevant bodies and institutions</w:t>
            </w:r>
          </w:p>
        </w:tc>
        <w:tc>
          <w:tcPr>
            <w:tcW w:w="408" w:type="pct"/>
          </w:tcPr>
          <w:p w:rsidR="00D13B96" w:rsidRPr="00CF4C4E" w:rsidRDefault="00D13B96" w:rsidP="00CF4C4E">
            <w:pPr>
              <w:rPr>
                <w:sz w:val="20"/>
                <w:szCs w:val="20"/>
                <w:lang w:val="en-GB"/>
              </w:rPr>
            </w:pPr>
            <w:r w:rsidRPr="00CF4C4E">
              <w:rPr>
                <w:sz w:val="20"/>
                <w:szCs w:val="20"/>
                <w:lang w:val="en-GB"/>
              </w:rPr>
              <w:t>IV quarter of 2022</w:t>
            </w:r>
          </w:p>
        </w:tc>
        <w:tc>
          <w:tcPr>
            <w:tcW w:w="597" w:type="pct"/>
          </w:tcPr>
          <w:p w:rsidR="00D13B96" w:rsidRPr="00CF4C4E" w:rsidRDefault="00D13B96" w:rsidP="00CF4C4E">
            <w:pPr>
              <w:rPr>
                <w:sz w:val="20"/>
                <w:szCs w:val="20"/>
                <w:lang w:val="en-GB"/>
              </w:rPr>
            </w:pPr>
            <w:r w:rsidRPr="00CF4C4E">
              <w:rPr>
                <w:sz w:val="20"/>
                <w:szCs w:val="20"/>
                <w:lang w:val="en-GB"/>
              </w:rPr>
              <w:t>Financed as part of regular activities of staff</w:t>
            </w:r>
          </w:p>
        </w:tc>
        <w:tc>
          <w:tcPr>
            <w:tcW w:w="450" w:type="pct"/>
          </w:tcPr>
          <w:p w:rsidR="00D13B96" w:rsidRPr="00CF4C4E" w:rsidRDefault="00D13B96" w:rsidP="00CF4C4E">
            <w:pPr>
              <w:rPr>
                <w:sz w:val="20"/>
                <w:szCs w:val="20"/>
                <w:lang w:val="en-GB"/>
              </w:rPr>
            </w:pPr>
          </w:p>
        </w:tc>
        <w:tc>
          <w:tcPr>
            <w:tcW w:w="650" w:type="pct"/>
          </w:tcPr>
          <w:p w:rsidR="00D13B96" w:rsidRPr="00CF4C4E" w:rsidRDefault="00D13B96" w:rsidP="00CF4C4E">
            <w:pPr>
              <w:rPr>
                <w:sz w:val="20"/>
                <w:szCs w:val="20"/>
                <w:lang w:val="en-GB"/>
              </w:rPr>
            </w:pPr>
          </w:p>
        </w:tc>
        <w:tc>
          <w:tcPr>
            <w:tcW w:w="600" w:type="pct"/>
          </w:tcPr>
          <w:p w:rsidR="00D13B96" w:rsidRPr="00CF4C4E" w:rsidRDefault="00D13B96" w:rsidP="00CF4C4E">
            <w:pPr>
              <w:rPr>
                <w:sz w:val="20"/>
                <w:szCs w:val="20"/>
                <w:lang w:val="en-GB"/>
              </w:rPr>
            </w:pPr>
          </w:p>
        </w:tc>
        <w:tc>
          <w:tcPr>
            <w:tcW w:w="612" w:type="pct"/>
          </w:tcPr>
          <w:p w:rsidR="00D13B96" w:rsidRPr="00CF4C4E" w:rsidRDefault="00D13B96" w:rsidP="00CF4C4E">
            <w:pPr>
              <w:rPr>
                <w:sz w:val="20"/>
                <w:szCs w:val="20"/>
                <w:lang w:val="en-GB"/>
              </w:rPr>
            </w:pPr>
          </w:p>
        </w:tc>
      </w:tr>
      <w:tr w:rsidR="00A9340A" w:rsidRPr="00CF4C4E" w:rsidTr="00DB3306">
        <w:trPr>
          <w:trHeight w:val="1840"/>
          <w:tblHeader/>
        </w:trPr>
        <w:tc>
          <w:tcPr>
            <w:tcW w:w="844" w:type="pct"/>
            <w:tcBorders>
              <w:left w:val="double" w:sz="4" w:space="0" w:color="auto"/>
            </w:tcBorders>
          </w:tcPr>
          <w:p w:rsidR="00A9340A" w:rsidRPr="00CF4C4E" w:rsidRDefault="00A9340A" w:rsidP="00CF4C4E">
            <w:pPr>
              <w:rPr>
                <w:sz w:val="20"/>
                <w:szCs w:val="20"/>
                <w:lang w:val="en-GB"/>
              </w:rPr>
            </w:pPr>
            <w:r w:rsidRPr="00CF4C4E">
              <w:rPr>
                <w:sz w:val="20"/>
                <w:szCs w:val="20"/>
                <w:lang w:val="en-GB"/>
              </w:rPr>
              <w:t>1.4.3. Raising of awareness with all relevant stakeholders about FATF standards, guidelines and best practices</w:t>
            </w:r>
          </w:p>
        </w:tc>
        <w:tc>
          <w:tcPr>
            <w:tcW w:w="394" w:type="pct"/>
          </w:tcPr>
          <w:p w:rsidR="00A9340A" w:rsidRPr="00CF4C4E" w:rsidRDefault="00A9340A" w:rsidP="00CF4C4E">
            <w:pPr>
              <w:rPr>
                <w:sz w:val="20"/>
                <w:szCs w:val="20"/>
                <w:lang w:val="en-GB"/>
              </w:rPr>
            </w:pPr>
            <w:r w:rsidRPr="00CF4C4E">
              <w:rPr>
                <w:sz w:val="20"/>
                <w:szCs w:val="20"/>
                <w:lang w:val="en-GB"/>
              </w:rPr>
              <w:t>AML/CFT CB</w:t>
            </w:r>
          </w:p>
        </w:tc>
        <w:tc>
          <w:tcPr>
            <w:tcW w:w="445" w:type="pct"/>
          </w:tcPr>
          <w:p w:rsidR="00A9340A" w:rsidRPr="00CF4C4E" w:rsidRDefault="00A9340A" w:rsidP="00CF4C4E">
            <w:pPr>
              <w:rPr>
                <w:sz w:val="20"/>
                <w:szCs w:val="20"/>
                <w:lang w:val="en-GB"/>
              </w:rPr>
            </w:pPr>
          </w:p>
        </w:tc>
        <w:tc>
          <w:tcPr>
            <w:tcW w:w="408" w:type="pct"/>
          </w:tcPr>
          <w:p w:rsidR="00A9340A" w:rsidRPr="00CF4C4E" w:rsidRDefault="00A9340A" w:rsidP="00CF4C4E">
            <w:pPr>
              <w:rPr>
                <w:sz w:val="20"/>
                <w:szCs w:val="20"/>
                <w:lang w:val="en-GB"/>
              </w:rPr>
            </w:pPr>
            <w:r w:rsidRPr="00CF4C4E">
              <w:rPr>
                <w:sz w:val="20"/>
                <w:szCs w:val="20"/>
                <w:lang w:val="en-GB"/>
              </w:rPr>
              <w:t>IV quarter of 2022</w:t>
            </w:r>
          </w:p>
        </w:tc>
        <w:tc>
          <w:tcPr>
            <w:tcW w:w="597" w:type="pct"/>
          </w:tcPr>
          <w:p w:rsidR="00A9340A" w:rsidRPr="00CF4C4E" w:rsidRDefault="00A9340A" w:rsidP="00CF4C4E">
            <w:pPr>
              <w:rPr>
                <w:sz w:val="20"/>
                <w:szCs w:val="20"/>
                <w:lang w:val="en-GB"/>
              </w:rPr>
            </w:pPr>
            <w:r w:rsidRPr="00CF4C4E">
              <w:rPr>
                <w:sz w:val="20"/>
                <w:szCs w:val="20"/>
                <w:lang w:val="en-GB"/>
              </w:rPr>
              <w:t xml:space="preserve">Financed as part of regular activities of staff </w:t>
            </w:r>
          </w:p>
          <w:p w:rsidR="00A9340A" w:rsidRPr="00CF4C4E" w:rsidRDefault="00A9340A" w:rsidP="00CF4C4E">
            <w:pPr>
              <w:rPr>
                <w:sz w:val="20"/>
                <w:szCs w:val="20"/>
                <w:lang w:val="en-GB"/>
              </w:rPr>
            </w:pPr>
          </w:p>
          <w:p w:rsidR="00A9340A" w:rsidRPr="00CF4C4E" w:rsidRDefault="00A9340A" w:rsidP="00CF4C4E">
            <w:pPr>
              <w:rPr>
                <w:sz w:val="20"/>
                <w:szCs w:val="20"/>
                <w:lang w:val="en-GB"/>
              </w:rPr>
            </w:pPr>
            <w:r w:rsidRPr="00CF4C4E">
              <w:rPr>
                <w:sz w:val="20"/>
                <w:szCs w:val="20"/>
                <w:lang w:val="en-GB"/>
              </w:rPr>
              <w:t xml:space="preserve">International donor funds (e.g. EU support to the prevention of ML and TF in Serbia, IPA 2015, OSCE) </w:t>
            </w:r>
          </w:p>
        </w:tc>
        <w:tc>
          <w:tcPr>
            <w:tcW w:w="450" w:type="pct"/>
          </w:tcPr>
          <w:p w:rsidR="00A9340A" w:rsidRPr="00CF4C4E" w:rsidRDefault="00A9340A" w:rsidP="00CF4C4E">
            <w:pPr>
              <w:rPr>
                <w:sz w:val="20"/>
                <w:szCs w:val="20"/>
                <w:lang w:val="en-GB"/>
              </w:rPr>
            </w:pPr>
          </w:p>
        </w:tc>
        <w:tc>
          <w:tcPr>
            <w:tcW w:w="650" w:type="pct"/>
          </w:tcPr>
          <w:p w:rsidR="00A9340A" w:rsidRPr="00CF4C4E" w:rsidRDefault="00A9340A" w:rsidP="00CF4C4E">
            <w:pPr>
              <w:rPr>
                <w:sz w:val="20"/>
                <w:szCs w:val="20"/>
                <w:lang w:val="en-GB"/>
              </w:rPr>
            </w:pPr>
          </w:p>
        </w:tc>
        <w:tc>
          <w:tcPr>
            <w:tcW w:w="600" w:type="pct"/>
          </w:tcPr>
          <w:p w:rsidR="00A9340A" w:rsidRPr="00CF4C4E" w:rsidRDefault="00A9340A" w:rsidP="00CF4C4E">
            <w:pPr>
              <w:rPr>
                <w:sz w:val="20"/>
                <w:szCs w:val="20"/>
                <w:lang w:val="en-GB"/>
              </w:rPr>
            </w:pPr>
          </w:p>
        </w:tc>
        <w:tc>
          <w:tcPr>
            <w:tcW w:w="612" w:type="pct"/>
          </w:tcPr>
          <w:p w:rsidR="00A9340A" w:rsidRPr="00CF4C4E" w:rsidRDefault="00A9340A" w:rsidP="00CF4C4E">
            <w:pPr>
              <w:rPr>
                <w:sz w:val="20"/>
                <w:szCs w:val="20"/>
                <w:lang w:val="en-GB"/>
              </w:rPr>
            </w:pPr>
          </w:p>
        </w:tc>
      </w:tr>
      <w:tr w:rsidR="00F3579D" w:rsidRPr="00CF4C4E" w:rsidTr="00DB3306">
        <w:trPr>
          <w:trHeight w:val="699"/>
          <w:tblHeader/>
        </w:trPr>
        <w:tc>
          <w:tcPr>
            <w:tcW w:w="844" w:type="pct"/>
            <w:tcBorders>
              <w:left w:val="double" w:sz="4" w:space="0" w:color="auto"/>
            </w:tcBorders>
          </w:tcPr>
          <w:p w:rsidR="00F3579D" w:rsidRPr="00CF4C4E" w:rsidRDefault="00F3579D" w:rsidP="00CF4C4E">
            <w:pPr>
              <w:rPr>
                <w:sz w:val="20"/>
                <w:szCs w:val="20"/>
                <w:lang w:val="en-GB"/>
              </w:rPr>
            </w:pPr>
            <w:r w:rsidRPr="00CF4C4E">
              <w:rPr>
                <w:sz w:val="20"/>
                <w:szCs w:val="20"/>
                <w:lang w:val="en-GB"/>
              </w:rPr>
              <w:lastRenderedPageBreak/>
              <w:t xml:space="preserve">1.4.4 Regularly follow and analyse AML/CFT activities at the EU level </w:t>
            </w:r>
          </w:p>
        </w:tc>
        <w:tc>
          <w:tcPr>
            <w:tcW w:w="394" w:type="pct"/>
          </w:tcPr>
          <w:p w:rsidR="00F3579D" w:rsidRPr="00CF4C4E" w:rsidRDefault="00A9340A" w:rsidP="00CF4C4E">
            <w:pPr>
              <w:rPr>
                <w:sz w:val="20"/>
                <w:szCs w:val="20"/>
                <w:lang w:val="en-GB"/>
              </w:rPr>
            </w:pPr>
            <w:r w:rsidRPr="00CF4C4E">
              <w:rPr>
                <w:sz w:val="20"/>
                <w:szCs w:val="20"/>
                <w:lang w:val="en-GB"/>
              </w:rPr>
              <w:t>AML/CFT CB</w:t>
            </w:r>
          </w:p>
        </w:tc>
        <w:tc>
          <w:tcPr>
            <w:tcW w:w="445" w:type="pct"/>
          </w:tcPr>
          <w:p w:rsidR="00F3579D" w:rsidRPr="00CF4C4E" w:rsidRDefault="00C951CC" w:rsidP="00CF4C4E">
            <w:pPr>
              <w:rPr>
                <w:sz w:val="20"/>
                <w:szCs w:val="20"/>
                <w:lang w:val="en-GB"/>
              </w:rPr>
            </w:pPr>
            <w:r w:rsidRPr="00CF4C4E">
              <w:rPr>
                <w:sz w:val="20"/>
                <w:szCs w:val="20"/>
                <w:lang w:val="en-GB"/>
              </w:rPr>
              <w:t>Relevant bodies and institutions</w:t>
            </w:r>
          </w:p>
        </w:tc>
        <w:tc>
          <w:tcPr>
            <w:tcW w:w="408" w:type="pct"/>
          </w:tcPr>
          <w:p w:rsidR="00F3579D" w:rsidRPr="00CF4C4E" w:rsidRDefault="00F3579D" w:rsidP="00CF4C4E">
            <w:pPr>
              <w:rPr>
                <w:sz w:val="20"/>
                <w:szCs w:val="20"/>
                <w:lang w:val="en-GB"/>
              </w:rPr>
            </w:pPr>
            <w:r w:rsidRPr="00CF4C4E">
              <w:rPr>
                <w:sz w:val="20"/>
                <w:szCs w:val="20"/>
                <w:lang w:val="en-GB"/>
              </w:rPr>
              <w:t>IV quarter of 2022</w:t>
            </w:r>
          </w:p>
        </w:tc>
        <w:tc>
          <w:tcPr>
            <w:tcW w:w="597" w:type="pct"/>
          </w:tcPr>
          <w:p w:rsidR="00F3579D" w:rsidRPr="00CF4C4E" w:rsidRDefault="00F77324" w:rsidP="00CF4C4E">
            <w:pPr>
              <w:rPr>
                <w:sz w:val="20"/>
                <w:szCs w:val="20"/>
                <w:lang w:val="en-GB"/>
              </w:rPr>
            </w:pPr>
            <w:r w:rsidRPr="00CF4C4E">
              <w:rPr>
                <w:sz w:val="20"/>
                <w:szCs w:val="20"/>
                <w:lang w:val="en-GB"/>
              </w:rPr>
              <w:t xml:space="preserve">Financed as part of regular activities of staff </w:t>
            </w:r>
          </w:p>
        </w:tc>
        <w:tc>
          <w:tcPr>
            <w:tcW w:w="450" w:type="pct"/>
          </w:tcPr>
          <w:p w:rsidR="00F3579D" w:rsidRPr="00CF4C4E" w:rsidRDefault="00F3579D" w:rsidP="00CF4C4E">
            <w:pPr>
              <w:rPr>
                <w:sz w:val="20"/>
                <w:szCs w:val="20"/>
                <w:lang w:val="en-GB"/>
              </w:rPr>
            </w:pPr>
          </w:p>
        </w:tc>
        <w:tc>
          <w:tcPr>
            <w:tcW w:w="650" w:type="pct"/>
          </w:tcPr>
          <w:p w:rsidR="00F3579D" w:rsidRPr="00CF4C4E" w:rsidRDefault="00F3579D" w:rsidP="00CF4C4E">
            <w:pPr>
              <w:rPr>
                <w:color w:val="FF0000"/>
                <w:sz w:val="20"/>
                <w:szCs w:val="20"/>
                <w:lang w:val="en-GB"/>
              </w:rPr>
            </w:pPr>
          </w:p>
        </w:tc>
        <w:tc>
          <w:tcPr>
            <w:tcW w:w="600" w:type="pct"/>
          </w:tcPr>
          <w:p w:rsidR="00F3579D" w:rsidRPr="00CF4C4E" w:rsidRDefault="00F3579D" w:rsidP="00CF4C4E">
            <w:pPr>
              <w:rPr>
                <w:sz w:val="20"/>
                <w:szCs w:val="20"/>
                <w:lang w:val="en-GB"/>
              </w:rPr>
            </w:pPr>
          </w:p>
        </w:tc>
        <w:tc>
          <w:tcPr>
            <w:tcW w:w="612" w:type="pct"/>
          </w:tcPr>
          <w:p w:rsidR="00F3579D" w:rsidRPr="00CF4C4E" w:rsidRDefault="00F3579D" w:rsidP="00CF4C4E">
            <w:pPr>
              <w:rPr>
                <w:sz w:val="20"/>
                <w:szCs w:val="20"/>
                <w:lang w:val="en-GB"/>
              </w:rPr>
            </w:pPr>
          </w:p>
        </w:tc>
      </w:tr>
      <w:tr w:rsidR="00D13B96" w:rsidRPr="00CF4C4E" w:rsidTr="00DB3306">
        <w:trPr>
          <w:trHeight w:val="1255"/>
          <w:tblHeader/>
        </w:trPr>
        <w:tc>
          <w:tcPr>
            <w:tcW w:w="844" w:type="pct"/>
            <w:tcBorders>
              <w:left w:val="double" w:sz="4" w:space="0" w:color="auto"/>
            </w:tcBorders>
          </w:tcPr>
          <w:p w:rsidR="00D13B96" w:rsidRPr="00CF4C4E" w:rsidRDefault="00D13B96" w:rsidP="00CF4C4E">
            <w:pPr>
              <w:rPr>
                <w:sz w:val="20"/>
                <w:szCs w:val="20"/>
                <w:lang w:val="en-GB"/>
              </w:rPr>
            </w:pPr>
            <w:r w:rsidRPr="00CF4C4E">
              <w:rPr>
                <w:sz w:val="20"/>
                <w:szCs w:val="20"/>
                <w:lang w:val="en-GB"/>
              </w:rPr>
              <w:t>1.4.5. Adopt measures as necessary in the Republic of Serbia, in accordance with analyses under item 1.4.4.</w:t>
            </w:r>
          </w:p>
        </w:tc>
        <w:tc>
          <w:tcPr>
            <w:tcW w:w="394" w:type="pct"/>
          </w:tcPr>
          <w:p w:rsidR="00D13B96" w:rsidRPr="00CF4C4E" w:rsidRDefault="00D13B96" w:rsidP="00CF4C4E">
            <w:pPr>
              <w:rPr>
                <w:sz w:val="20"/>
                <w:szCs w:val="20"/>
                <w:lang w:val="en-GB"/>
              </w:rPr>
            </w:pPr>
            <w:r w:rsidRPr="00CF4C4E">
              <w:rPr>
                <w:sz w:val="20"/>
                <w:szCs w:val="20"/>
                <w:lang w:val="en-GB"/>
              </w:rPr>
              <w:t>AML/CFT CB</w:t>
            </w:r>
          </w:p>
        </w:tc>
        <w:tc>
          <w:tcPr>
            <w:tcW w:w="445" w:type="pct"/>
          </w:tcPr>
          <w:p w:rsidR="00D13B96" w:rsidRPr="00CF4C4E" w:rsidRDefault="00C951CC" w:rsidP="00CF4C4E">
            <w:pPr>
              <w:rPr>
                <w:sz w:val="20"/>
                <w:szCs w:val="20"/>
                <w:lang w:val="en-GB"/>
              </w:rPr>
            </w:pPr>
            <w:r w:rsidRPr="00CF4C4E">
              <w:rPr>
                <w:sz w:val="20"/>
                <w:szCs w:val="20"/>
                <w:lang w:val="en-GB"/>
              </w:rPr>
              <w:t>Relevant bodies and institutions</w:t>
            </w:r>
          </w:p>
        </w:tc>
        <w:tc>
          <w:tcPr>
            <w:tcW w:w="408" w:type="pct"/>
          </w:tcPr>
          <w:p w:rsidR="00D13B96" w:rsidRPr="00CF4C4E" w:rsidRDefault="00D13B96" w:rsidP="00CF4C4E">
            <w:pPr>
              <w:rPr>
                <w:sz w:val="20"/>
                <w:szCs w:val="20"/>
                <w:lang w:val="en-GB"/>
              </w:rPr>
            </w:pPr>
            <w:r w:rsidRPr="00CF4C4E">
              <w:rPr>
                <w:sz w:val="20"/>
                <w:szCs w:val="20"/>
                <w:lang w:val="en-GB"/>
              </w:rPr>
              <w:t>IV quarter of 2022</w:t>
            </w:r>
          </w:p>
        </w:tc>
        <w:tc>
          <w:tcPr>
            <w:tcW w:w="597" w:type="pct"/>
          </w:tcPr>
          <w:p w:rsidR="00D13B96" w:rsidRPr="00CF4C4E" w:rsidRDefault="00D13B96" w:rsidP="00CF4C4E">
            <w:pPr>
              <w:rPr>
                <w:sz w:val="20"/>
                <w:szCs w:val="20"/>
                <w:lang w:val="en-GB"/>
              </w:rPr>
            </w:pPr>
            <w:r w:rsidRPr="00CF4C4E">
              <w:rPr>
                <w:sz w:val="20"/>
                <w:szCs w:val="20"/>
                <w:lang w:val="en-GB"/>
              </w:rPr>
              <w:t>Financed as part of regular activities of staff</w:t>
            </w:r>
          </w:p>
        </w:tc>
        <w:tc>
          <w:tcPr>
            <w:tcW w:w="450" w:type="pct"/>
          </w:tcPr>
          <w:p w:rsidR="00D13B96" w:rsidRPr="00CF4C4E" w:rsidRDefault="00D13B96" w:rsidP="00CF4C4E">
            <w:pPr>
              <w:rPr>
                <w:sz w:val="20"/>
                <w:szCs w:val="20"/>
                <w:lang w:val="en-GB"/>
              </w:rPr>
            </w:pPr>
          </w:p>
        </w:tc>
        <w:tc>
          <w:tcPr>
            <w:tcW w:w="650" w:type="pct"/>
          </w:tcPr>
          <w:p w:rsidR="00D13B96" w:rsidRPr="00CF4C4E" w:rsidRDefault="00D13B96" w:rsidP="00CF4C4E">
            <w:pPr>
              <w:rPr>
                <w:color w:val="FF0000"/>
                <w:sz w:val="20"/>
                <w:szCs w:val="20"/>
                <w:lang w:val="en-GB"/>
              </w:rPr>
            </w:pPr>
          </w:p>
        </w:tc>
        <w:tc>
          <w:tcPr>
            <w:tcW w:w="600" w:type="pct"/>
          </w:tcPr>
          <w:p w:rsidR="00D13B96" w:rsidRPr="00CF4C4E" w:rsidRDefault="00D13B96" w:rsidP="00CF4C4E">
            <w:pPr>
              <w:rPr>
                <w:sz w:val="20"/>
                <w:szCs w:val="20"/>
                <w:lang w:val="en-GB"/>
              </w:rPr>
            </w:pPr>
          </w:p>
        </w:tc>
        <w:tc>
          <w:tcPr>
            <w:tcW w:w="612" w:type="pct"/>
          </w:tcPr>
          <w:p w:rsidR="00D13B96" w:rsidRPr="00CF4C4E" w:rsidRDefault="00D13B96" w:rsidP="00CF4C4E">
            <w:pPr>
              <w:rPr>
                <w:sz w:val="20"/>
                <w:szCs w:val="20"/>
                <w:lang w:val="en-GB"/>
              </w:rPr>
            </w:pPr>
          </w:p>
        </w:tc>
      </w:tr>
    </w:tbl>
    <w:p w:rsidR="00F43ECD" w:rsidRPr="00CF4C4E" w:rsidRDefault="00F43ECD" w:rsidP="00CF4C4E">
      <w:pPr>
        <w:rPr>
          <w:sz w:val="20"/>
          <w:szCs w:val="20"/>
          <w:lang w:val="en-GB"/>
        </w:rPr>
      </w:pPr>
    </w:p>
    <w:p w:rsidR="00F43ECD" w:rsidRPr="00CF4C4E" w:rsidRDefault="00F43ECD" w:rsidP="00CF4C4E">
      <w:pPr>
        <w:rPr>
          <w:sz w:val="20"/>
          <w:szCs w:val="20"/>
          <w:lang w:val="en-GB"/>
        </w:rPr>
      </w:pPr>
    </w:p>
    <w:tbl>
      <w:tblPr>
        <w:tblStyle w:val="TableGrid"/>
        <w:tblW w:w="14132" w:type="dxa"/>
        <w:tblInd w:w="10" w:type="dxa"/>
        <w:tblLayout w:type="fixed"/>
        <w:tblLook w:val="04A0"/>
      </w:tblPr>
      <w:tblGrid>
        <w:gridCol w:w="3359"/>
        <w:gridCol w:w="1842"/>
        <w:gridCol w:w="1985"/>
        <w:gridCol w:w="1276"/>
        <w:gridCol w:w="1134"/>
        <w:gridCol w:w="1559"/>
        <w:gridCol w:w="1559"/>
        <w:gridCol w:w="1418"/>
      </w:tblGrid>
      <w:tr w:rsidR="00F43ECD" w:rsidRPr="00CF4C4E" w:rsidTr="00DF0DDF">
        <w:trPr>
          <w:trHeight w:val="320"/>
        </w:trPr>
        <w:tc>
          <w:tcPr>
            <w:tcW w:w="14132" w:type="dxa"/>
            <w:gridSpan w:val="8"/>
            <w:tcBorders>
              <w:top w:val="double" w:sz="4" w:space="0" w:color="auto"/>
              <w:right w:val="double" w:sz="4" w:space="0" w:color="auto"/>
            </w:tcBorders>
            <w:shd w:val="clear" w:color="auto" w:fill="FBD4B4" w:themeFill="accent6" w:themeFillTint="66"/>
          </w:tcPr>
          <w:p w:rsidR="00F43ECD" w:rsidRPr="00CF4C4E" w:rsidRDefault="00F43ECD" w:rsidP="00CF4C4E">
            <w:pPr>
              <w:pStyle w:val="Heading2"/>
              <w:spacing w:before="0" w:beforeAutospacing="0" w:after="0" w:afterAutospacing="0"/>
              <w:rPr>
                <w:sz w:val="20"/>
                <w:szCs w:val="20"/>
                <w:lang w:val="en-GB"/>
              </w:rPr>
            </w:pPr>
            <w:bookmarkStart w:id="6" w:name="_Toc32409910"/>
            <w:r w:rsidRPr="00CF4C4E">
              <w:rPr>
                <w:sz w:val="20"/>
                <w:szCs w:val="20"/>
                <w:lang w:val="en-GB"/>
              </w:rPr>
              <w:t>Specific objective 2:</w:t>
            </w:r>
            <w:r w:rsidRPr="00CF4C4E">
              <w:rPr>
                <w:b w:val="0"/>
                <w:bCs w:val="0"/>
                <w:sz w:val="20"/>
                <w:szCs w:val="20"/>
                <w:lang w:val="en-GB"/>
              </w:rPr>
              <w:t xml:space="preserve"> </w:t>
            </w:r>
            <w:r w:rsidRPr="00CF4C4E">
              <w:rPr>
                <w:sz w:val="20"/>
                <w:szCs w:val="20"/>
                <w:lang w:val="en-GB"/>
              </w:rPr>
              <w:t>Prevent suspected proceeds from crime or funds intended for terrorism or proliferation of WMD, from entering the financial and non-financial sectors or improve their detection if already in the system</w:t>
            </w:r>
            <w:bookmarkEnd w:id="6"/>
          </w:p>
        </w:tc>
      </w:tr>
      <w:tr w:rsidR="00F43ECD" w:rsidRPr="00CF4C4E" w:rsidTr="00DF0DDF">
        <w:trPr>
          <w:trHeight w:val="320"/>
        </w:trPr>
        <w:tc>
          <w:tcPr>
            <w:tcW w:w="14132" w:type="dxa"/>
            <w:gridSpan w:val="8"/>
            <w:tcBorders>
              <w:top w:val="double" w:sz="4" w:space="0" w:color="auto"/>
              <w:right w:val="double" w:sz="4" w:space="0" w:color="auto"/>
            </w:tcBorders>
            <w:shd w:val="clear" w:color="auto" w:fill="FBD4B4" w:themeFill="accent6" w:themeFillTint="66"/>
            <w:vAlign w:val="center"/>
          </w:tcPr>
          <w:p w:rsidR="00F43ECD" w:rsidRPr="00CF4C4E" w:rsidRDefault="00F43ECD" w:rsidP="00CF4C4E">
            <w:pPr>
              <w:rPr>
                <w:sz w:val="20"/>
                <w:szCs w:val="20"/>
                <w:lang w:val="en-GB"/>
              </w:rPr>
            </w:pPr>
            <w:r w:rsidRPr="00CF4C4E">
              <w:rPr>
                <w:rFonts w:eastAsia="Times New Roman"/>
                <w:color w:val="222222"/>
                <w:sz w:val="20"/>
                <w:szCs w:val="20"/>
                <w:lang w:val="en-GB"/>
              </w:rPr>
              <w:t>Institution responsible for monitoring and control of implementation: Coordination Body for the Prevention of Money Laundering and the Financing of Terrorism (AML/CFT CB)</w:t>
            </w:r>
          </w:p>
        </w:tc>
      </w:tr>
      <w:tr w:rsidR="004316AD" w:rsidRPr="00CF4C4E" w:rsidTr="00DF0DDF">
        <w:trPr>
          <w:trHeight w:val="575"/>
        </w:trPr>
        <w:tc>
          <w:tcPr>
            <w:tcW w:w="3359"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Indicator(s) at the level of the specific objective (indicator of outcome)</w:t>
            </w:r>
          </w:p>
        </w:tc>
        <w:tc>
          <w:tcPr>
            <w:tcW w:w="1842"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Unit of measurement</w:t>
            </w:r>
          </w:p>
          <w:p w:rsidR="004316AD" w:rsidRPr="00CF4C4E" w:rsidRDefault="004316AD" w:rsidP="00CF4C4E">
            <w:pPr>
              <w:rPr>
                <w:sz w:val="20"/>
                <w:szCs w:val="20"/>
                <w:lang w:val="en-GB"/>
              </w:rPr>
            </w:pPr>
          </w:p>
        </w:tc>
        <w:tc>
          <w:tcPr>
            <w:tcW w:w="1985"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Source of verification</w:t>
            </w:r>
          </w:p>
        </w:tc>
        <w:tc>
          <w:tcPr>
            <w:tcW w:w="1276"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 xml:space="preserve">Base value </w:t>
            </w:r>
          </w:p>
        </w:tc>
        <w:tc>
          <w:tcPr>
            <w:tcW w:w="1134"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Base year</w:t>
            </w:r>
          </w:p>
        </w:tc>
        <w:tc>
          <w:tcPr>
            <w:tcW w:w="1559"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Target value in 2020</w:t>
            </w:r>
          </w:p>
        </w:tc>
        <w:tc>
          <w:tcPr>
            <w:tcW w:w="1559" w:type="dxa"/>
            <w:tcBorders>
              <w:top w:val="double" w:sz="4" w:space="0" w:color="auto"/>
            </w:tcBorders>
            <w:shd w:val="clear" w:color="auto" w:fill="D9D9D9" w:themeFill="background1" w:themeFillShade="D9"/>
          </w:tcPr>
          <w:p w:rsidR="004316AD" w:rsidRPr="00CF4C4E" w:rsidRDefault="004316AD" w:rsidP="00CF4C4E">
            <w:pPr>
              <w:rPr>
                <w:sz w:val="20"/>
                <w:szCs w:val="20"/>
                <w:lang w:val="en-GB"/>
              </w:rPr>
            </w:pPr>
            <w:r w:rsidRPr="00CF4C4E">
              <w:rPr>
                <w:sz w:val="20"/>
                <w:szCs w:val="20"/>
                <w:lang w:val="en-GB"/>
              </w:rPr>
              <w:t>Target value in 2021</w:t>
            </w:r>
          </w:p>
        </w:tc>
        <w:tc>
          <w:tcPr>
            <w:tcW w:w="1418" w:type="dxa"/>
            <w:tcBorders>
              <w:top w:val="double" w:sz="4" w:space="0" w:color="auto"/>
              <w:right w:val="double" w:sz="4" w:space="0" w:color="auto"/>
            </w:tcBorders>
            <w:shd w:val="clear" w:color="auto" w:fill="D9D9D9" w:themeFill="background1" w:themeFillShade="D9"/>
          </w:tcPr>
          <w:p w:rsidR="004316AD" w:rsidRPr="00CF4C4E" w:rsidRDefault="00885F9C" w:rsidP="00CF4C4E">
            <w:pPr>
              <w:rPr>
                <w:sz w:val="20"/>
                <w:szCs w:val="20"/>
                <w:lang w:val="en-GB"/>
              </w:rPr>
            </w:pPr>
            <w:r w:rsidRPr="00CF4C4E">
              <w:rPr>
                <w:sz w:val="20"/>
                <w:szCs w:val="20"/>
                <w:lang w:val="en-GB"/>
              </w:rPr>
              <w:t>Target value in 2022</w:t>
            </w:r>
          </w:p>
        </w:tc>
      </w:tr>
      <w:tr w:rsidR="00321E8D" w:rsidRPr="00CF4C4E" w:rsidTr="00DF0DDF">
        <w:trPr>
          <w:trHeight w:val="254"/>
        </w:trPr>
        <w:tc>
          <w:tcPr>
            <w:tcW w:w="3359" w:type="dxa"/>
            <w:tcBorders>
              <w:top w:val="double" w:sz="4" w:space="0" w:color="auto"/>
              <w:bottom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sz w:val="20"/>
                <w:szCs w:val="20"/>
                <w:lang w:val="en-GB"/>
              </w:rPr>
              <w:t xml:space="preserve">Assessment of technical compliance with relevant international standards and recommendations </w:t>
            </w:r>
          </w:p>
        </w:tc>
        <w:tc>
          <w:tcPr>
            <w:tcW w:w="1842" w:type="dxa"/>
            <w:tcBorders>
              <w:top w:val="double" w:sz="4" w:space="0" w:color="auto"/>
              <w:bottom w:val="double" w:sz="4" w:space="0" w:color="auto"/>
            </w:tcBorders>
            <w:shd w:val="clear" w:color="auto" w:fill="FFFFFF" w:themeFill="background1"/>
          </w:tcPr>
          <w:p w:rsidR="00DA0064" w:rsidRPr="00CF4C4E" w:rsidRDefault="00DA0064" w:rsidP="00CF4C4E">
            <w:pPr>
              <w:shd w:val="clear" w:color="auto" w:fill="FFFFFF" w:themeFill="background1"/>
              <w:rPr>
                <w:sz w:val="20"/>
                <w:szCs w:val="20"/>
                <w:lang w:val="en-GB"/>
              </w:rPr>
            </w:pPr>
            <w:r w:rsidRPr="00CF4C4E">
              <w:rPr>
                <w:i/>
                <w:iCs/>
                <w:sz w:val="20"/>
                <w:szCs w:val="20"/>
                <w:lang w:val="en-GB"/>
              </w:rPr>
              <w:t xml:space="preserve">Largely compliant </w:t>
            </w:r>
            <w:r w:rsidRPr="00CF4C4E">
              <w:rPr>
                <w:sz w:val="20"/>
                <w:szCs w:val="20"/>
                <w:lang w:val="en-GB"/>
              </w:rPr>
              <w:t xml:space="preserve">(LC) or </w:t>
            </w:r>
            <w:r w:rsidRPr="00CF4C4E">
              <w:rPr>
                <w:i/>
                <w:iCs/>
                <w:sz w:val="20"/>
                <w:szCs w:val="20"/>
                <w:lang w:val="en-GB"/>
              </w:rPr>
              <w:t xml:space="preserve">compliant </w:t>
            </w:r>
            <w:r w:rsidRPr="00CF4C4E">
              <w:rPr>
                <w:sz w:val="20"/>
                <w:szCs w:val="20"/>
                <w:lang w:val="en-GB"/>
              </w:rPr>
              <w:t>(C) ratings</w:t>
            </w:r>
          </w:p>
          <w:p w:rsidR="00321E8D" w:rsidRPr="00CF4C4E" w:rsidRDefault="00321E8D" w:rsidP="00CF4C4E">
            <w:pPr>
              <w:shd w:val="clear" w:color="auto" w:fill="FFFFFF" w:themeFill="background1"/>
              <w:rPr>
                <w:i/>
                <w:sz w:val="20"/>
                <w:szCs w:val="20"/>
                <w:lang w:val="en-GB"/>
              </w:rPr>
            </w:pPr>
          </w:p>
        </w:tc>
        <w:tc>
          <w:tcPr>
            <w:tcW w:w="1985" w:type="dxa"/>
            <w:tcBorders>
              <w:top w:val="double" w:sz="4" w:space="0" w:color="auto"/>
              <w:bottom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sz w:val="20"/>
                <w:szCs w:val="20"/>
                <w:lang w:val="en-GB"/>
              </w:rPr>
              <w:t xml:space="preserve">Progress reports by competent authorities and Moneyval </w:t>
            </w:r>
          </w:p>
        </w:tc>
        <w:tc>
          <w:tcPr>
            <w:tcW w:w="1276" w:type="dxa"/>
            <w:tcBorders>
              <w:top w:val="double" w:sz="4" w:space="0" w:color="auto"/>
              <w:bottom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sz w:val="20"/>
                <w:szCs w:val="20"/>
                <w:lang w:val="en-GB"/>
              </w:rPr>
              <w:t>NC – 0</w:t>
            </w:r>
          </w:p>
          <w:p w:rsidR="00321E8D" w:rsidRPr="00CF4C4E" w:rsidRDefault="00321E8D" w:rsidP="00CF4C4E">
            <w:pPr>
              <w:shd w:val="clear" w:color="auto" w:fill="FFFFFF" w:themeFill="background1"/>
              <w:rPr>
                <w:sz w:val="20"/>
                <w:szCs w:val="20"/>
                <w:lang w:val="en-GB"/>
              </w:rPr>
            </w:pPr>
            <w:r w:rsidRPr="00CF4C4E">
              <w:rPr>
                <w:sz w:val="20"/>
                <w:szCs w:val="20"/>
                <w:lang w:val="en-GB"/>
              </w:rPr>
              <w:t>PC – 4</w:t>
            </w:r>
          </w:p>
          <w:p w:rsidR="00321E8D" w:rsidRPr="00CF4C4E" w:rsidRDefault="00321E8D" w:rsidP="00CF4C4E">
            <w:pPr>
              <w:shd w:val="clear" w:color="auto" w:fill="FFFFFF" w:themeFill="background1"/>
              <w:rPr>
                <w:sz w:val="20"/>
                <w:szCs w:val="20"/>
                <w:lang w:val="en-GB"/>
              </w:rPr>
            </w:pPr>
            <w:r w:rsidRPr="00CF4C4E">
              <w:rPr>
                <w:sz w:val="20"/>
                <w:szCs w:val="20"/>
                <w:lang w:val="en-GB"/>
              </w:rPr>
              <w:t>LC – 31</w:t>
            </w:r>
          </w:p>
          <w:p w:rsidR="00321E8D" w:rsidRPr="00CF4C4E" w:rsidRDefault="00321E8D" w:rsidP="00CF4C4E">
            <w:pPr>
              <w:shd w:val="clear" w:color="auto" w:fill="FFFFFF" w:themeFill="background1"/>
              <w:rPr>
                <w:sz w:val="20"/>
                <w:szCs w:val="20"/>
                <w:lang w:val="en-GB"/>
              </w:rPr>
            </w:pPr>
            <w:r w:rsidRPr="00CF4C4E">
              <w:rPr>
                <w:sz w:val="20"/>
                <w:szCs w:val="20"/>
                <w:lang w:val="en-GB"/>
              </w:rPr>
              <w:t xml:space="preserve">C – 5 </w:t>
            </w:r>
          </w:p>
        </w:tc>
        <w:tc>
          <w:tcPr>
            <w:tcW w:w="1134" w:type="dxa"/>
            <w:tcBorders>
              <w:top w:val="double" w:sz="4" w:space="0" w:color="auto"/>
              <w:bottom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sz w:val="20"/>
                <w:szCs w:val="20"/>
                <w:lang w:val="en-GB"/>
              </w:rPr>
              <w:t>2019</w:t>
            </w:r>
          </w:p>
        </w:tc>
        <w:tc>
          <w:tcPr>
            <w:tcW w:w="1559" w:type="dxa"/>
            <w:tcBorders>
              <w:top w:val="double" w:sz="4" w:space="0" w:color="auto"/>
              <w:bottom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sz w:val="20"/>
                <w:szCs w:val="20"/>
                <w:lang w:val="en-GB"/>
              </w:rPr>
              <w:t>NC – 0</w:t>
            </w:r>
          </w:p>
          <w:p w:rsidR="00321E8D" w:rsidRPr="00CF4C4E" w:rsidRDefault="00321E8D" w:rsidP="00CF4C4E">
            <w:pPr>
              <w:shd w:val="clear" w:color="auto" w:fill="FFFFFF" w:themeFill="background1"/>
              <w:rPr>
                <w:sz w:val="20"/>
                <w:szCs w:val="20"/>
                <w:lang w:val="en-GB"/>
              </w:rPr>
            </w:pPr>
            <w:r w:rsidRPr="00CF4C4E">
              <w:rPr>
                <w:sz w:val="20"/>
                <w:szCs w:val="20"/>
                <w:lang w:val="en-GB"/>
              </w:rPr>
              <w:t>PC – 0</w:t>
            </w:r>
          </w:p>
          <w:p w:rsidR="00321E8D" w:rsidRPr="00CF4C4E" w:rsidRDefault="00321E8D" w:rsidP="00CF4C4E">
            <w:pPr>
              <w:shd w:val="clear" w:color="auto" w:fill="FFFFFF" w:themeFill="background1"/>
              <w:rPr>
                <w:sz w:val="20"/>
                <w:szCs w:val="20"/>
                <w:lang w:val="en-GB"/>
              </w:rPr>
            </w:pPr>
            <w:r w:rsidRPr="00CF4C4E">
              <w:rPr>
                <w:sz w:val="20"/>
                <w:szCs w:val="20"/>
                <w:lang w:val="en-GB"/>
              </w:rPr>
              <w:t>LC/С - 40</w:t>
            </w:r>
          </w:p>
          <w:p w:rsidR="00321E8D" w:rsidRPr="00CF4C4E" w:rsidRDefault="00321E8D" w:rsidP="00CF4C4E">
            <w:pPr>
              <w:shd w:val="clear" w:color="auto" w:fill="FFFFFF" w:themeFill="background1"/>
              <w:rPr>
                <w:sz w:val="20"/>
                <w:szCs w:val="20"/>
                <w:lang w:val="en-GB"/>
              </w:rPr>
            </w:pPr>
          </w:p>
        </w:tc>
        <w:tc>
          <w:tcPr>
            <w:tcW w:w="1559" w:type="dxa"/>
            <w:tcBorders>
              <w:top w:val="double" w:sz="4" w:space="0" w:color="auto"/>
              <w:bottom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sz w:val="20"/>
                <w:szCs w:val="20"/>
                <w:lang w:val="en-GB"/>
              </w:rPr>
              <w:t>NC – 0</w:t>
            </w:r>
          </w:p>
          <w:p w:rsidR="00321E8D" w:rsidRPr="00CF4C4E" w:rsidRDefault="00321E8D" w:rsidP="00CF4C4E">
            <w:pPr>
              <w:shd w:val="clear" w:color="auto" w:fill="FFFFFF" w:themeFill="background1"/>
              <w:rPr>
                <w:sz w:val="20"/>
                <w:szCs w:val="20"/>
                <w:lang w:val="en-GB"/>
              </w:rPr>
            </w:pPr>
            <w:r w:rsidRPr="00CF4C4E">
              <w:rPr>
                <w:sz w:val="20"/>
                <w:szCs w:val="20"/>
                <w:lang w:val="en-GB"/>
              </w:rPr>
              <w:t>PC – 0</w:t>
            </w:r>
          </w:p>
          <w:p w:rsidR="00321E8D" w:rsidRPr="00CF4C4E" w:rsidRDefault="00321E8D" w:rsidP="00CF4C4E">
            <w:pPr>
              <w:shd w:val="clear" w:color="auto" w:fill="FFFFFF" w:themeFill="background1"/>
              <w:rPr>
                <w:sz w:val="20"/>
                <w:szCs w:val="20"/>
                <w:lang w:val="en-GB"/>
              </w:rPr>
            </w:pPr>
            <w:r w:rsidRPr="00CF4C4E">
              <w:rPr>
                <w:sz w:val="20"/>
                <w:szCs w:val="20"/>
                <w:lang w:val="en-GB"/>
              </w:rPr>
              <w:t>LC/С - 40</w:t>
            </w:r>
          </w:p>
          <w:p w:rsidR="00321E8D" w:rsidRPr="00CF4C4E" w:rsidRDefault="00321E8D" w:rsidP="00CF4C4E">
            <w:pPr>
              <w:shd w:val="clear" w:color="auto" w:fill="FFFFFF" w:themeFill="background1"/>
              <w:rPr>
                <w:sz w:val="20"/>
                <w:szCs w:val="20"/>
                <w:lang w:val="en-GB"/>
              </w:rPr>
            </w:pPr>
          </w:p>
        </w:tc>
        <w:tc>
          <w:tcPr>
            <w:tcW w:w="1418" w:type="dxa"/>
            <w:tcBorders>
              <w:top w:val="double" w:sz="4" w:space="0" w:color="auto"/>
              <w:bottom w:val="double" w:sz="4" w:space="0" w:color="auto"/>
              <w:right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sz w:val="20"/>
                <w:szCs w:val="20"/>
                <w:lang w:val="en-GB"/>
              </w:rPr>
              <w:t>NC – 0</w:t>
            </w:r>
          </w:p>
          <w:p w:rsidR="00321E8D" w:rsidRPr="00CF4C4E" w:rsidRDefault="00321E8D" w:rsidP="00CF4C4E">
            <w:pPr>
              <w:shd w:val="clear" w:color="auto" w:fill="FFFFFF" w:themeFill="background1"/>
              <w:rPr>
                <w:sz w:val="20"/>
                <w:szCs w:val="20"/>
                <w:lang w:val="en-GB"/>
              </w:rPr>
            </w:pPr>
            <w:r w:rsidRPr="00CF4C4E">
              <w:rPr>
                <w:sz w:val="20"/>
                <w:szCs w:val="20"/>
                <w:lang w:val="en-GB"/>
              </w:rPr>
              <w:t>PC – 0</w:t>
            </w:r>
          </w:p>
          <w:p w:rsidR="00321E8D" w:rsidRPr="00CF4C4E" w:rsidRDefault="00321E8D" w:rsidP="00CF4C4E">
            <w:pPr>
              <w:shd w:val="clear" w:color="auto" w:fill="FFFFFF" w:themeFill="background1"/>
              <w:rPr>
                <w:sz w:val="20"/>
                <w:szCs w:val="20"/>
                <w:lang w:val="en-GB"/>
              </w:rPr>
            </w:pPr>
            <w:r w:rsidRPr="00CF4C4E">
              <w:rPr>
                <w:sz w:val="20"/>
                <w:szCs w:val="20"/>
                <w:lang w:val="en-GB"/>
              </w:rPr>
              <w:t>LC/С - 40</w:t>
            </w:r>
          </w:p>
          <w:p w:rsidR="00321E8D" w:rsidRPr="00CF4C4E" w:rsidRDefault="00321E8D" w:rsidP="00CF4C4E">
            <w:pPr>
              <w:shd w:val="clear" w:color="auto" w:fill="FFFFFF" w:themeFill="background1"/>
              <w:rPr>
                <w:sz w:val="20"/>
                <w:szCs w:val="20"/>
                <w:lang w:val="en-GB"/>
              </w:rPr>
            </w:pPr>
          </w:p>
        </w:tc>
      </w:tr>
      <w:tr w:rsidR="00321E8D" w:rsidRPr="00CF4C4E" w:rsidTr="00DF0DDF">
        <w:trPr>
          <w:trHeight w:val="254"/>
        </w:trPr>
        <w:tc>
          <w:tcPr>
            <w:tcW w:w="3359" w:type="dxa"/>
            <w:tcBorders>
              <w:top w:val="double" w:sz="4" w:space="0" w:color="auto"/>
              <w:bottom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color w:val="auto"/>
                <w:sz w:val="20"/>
                <w:szCs w:val="20"/>
                <w:lang w:val="en-GB"/>
              </w:rPr>
              <w:t>Progress on immediate outcomes 3, 4 and 6 under the FATF Methodology, annually</w:t>
            </w:r>
          </w:p>
        </w:tc>
        <w:tc>
          <w:tcPr>
            <w:tcW w:w="1842" w:type="dxa"/>
            <w:tcBorders>
              <w:top w:val="double" w:sz="4" w:space="0" w:color="auto"/>
              <w:bottom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sz w:val="20"/>
                <w:szCs w:val="20"/>
                <w:lang w:val="en-GB"/>
              </w:rPr>
              <w:t>Yes/No</w:t>
            </w:r>
          </w:p>
        </w:tc>
        <w:tc>
          <w:tcPr>
            <w:tcW w:w="1985" w:type="dxa"/>
            <w:tcBorders>
              <w:top w:val="double" w:sz="4" w:space="0" w:color="auto"/>
              <w:bottom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sz w:val="20"/>
                <w:szCs w:val="20"/>
                <w:lang w:val="en-GB"/>
              </w:rPr>
              <w:t xml:space="preserve">Progress reports by competent authorities and Moneyval </w:t>
            </w:r>
          </w:p>
        </w:tc>
        <w:tc>
          <w:tcPr>
            <w:tcW w:w="1276" w:type="dxa"/>
            <w:tcBorders>
              <w:top w:val="double" w:sz="4" w:space="0" w:color="auto"/>
              <w:bottom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sz w:val="20"/>
                <w:szCs w:val="20"/>
                <w:lang w:val="en-GB"/>
              </w:rPr>
              <w:t>Yes.</w:t>
            </w:r>
          </w:p>
        </w:tc>
        <w:tc>
          <w:tcPr>
            <w:tcW w:w="1134" w:type="dxa"/>
            <w:tcBorders>
              <w:top w:val="double" w:sz="4" w:space="0" w:color="auto"/>
              <w:bottom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sz w:val="20"/>
                <w:szCs w:val="20"/>
                <w:lang w:val="en-GB"/>
              </w:rPr>
              <w:t>2019</w:t>
            </w:r>
          </w:p>
        </w:tc>
        <w:tc>
          <w:tcPr>
            <w:tcW w:w="1559" w:type="dxa"/>
            <w:tcBorders>
              <w:top w:val="double" w:sz="4" w:space="0" w:color="auto"/>
              <w:bottom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sz w:val="20"/>
                <w:szCs w:val="20"/>
                <w:lang w:val="en-GB"/>
              </w:rPr>
              <w:t>Yes.</w:t>
            </w:r>
          </w:p>
        </w:tc>
        <w:tc>
          <w:tcPr>
            <w:tcW w:w="1559" w:type="dxa"/>
            <w:tcBorders>
              <w:top w:val="double" w:sz="4" w:space="0" w:color="auto"/>
              <w:bottom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sz w:val="20"/>
                <w:szCs w:val="20"/>
                <w:lang w:val="en-GB"/>
              </w:rPr>
              <w:t>Yes.</w:t>
            </w:r>
          </w:p>
        </w:tc>
        <w:tc>
          <w:tcPr>
            <w:tcW w:w="1418" w:type="dxa"/>
            <w:tcBorders>
              <w:top w:val="double" w:sz="4" w:space="0" w:color="auto"/>
              <w:bottom w:val="double" w:sz="4" w:space="0" w:color="auto"/>
              <w:right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sz w:val="20"/>
                <w:szCs w:val="20"/>
                <w:lang w:val="en-GB"/>
              </w:rPr>
              <w:t>Yes.</w:t>
            </w:r>
          </w:p>
        </w:tc>
      </w:tr>
    </w:tbl>
    <w:p w:rsidR="00F43ECD" w:rsidRPr="00CF4C4E" w:rsidRDefault="00F43ECD" w:rsidP="00CF4C4E">
      <w:pPr>
        <w:tabs>
          <w:tab w:val="left" w:pos="1940"/>
        </w:tabs>
        <w:rPr>
          <w:sz w:val="20"/>
          <w:szCs w:val="20"/>
          <w:lang w:val="en-GB"/>
        </w:rPr>
      </w:pPr>
    </w:p>
    <w:tbl>
      <w:tblPr>
        <w:tblStyle w:val="TableGrid"/>
        <w:tblW w:w="14132" w:type="dxa"/>
        <w:tblInd w:w="10" w:type="dxa"/>
        <w:tblLayout w:type="fixed"/>
        <w:tblLook w:val="04A0"/>
      </w:tblPr>
      <w:tblGrid>
        <w:gridCol w:w="3217"/>
        <w:gridCol w:w="1375"/>
        <w:gridCol w:w="2169"/>
        <w:gridCol w:w="141"/>
        <w:gridCol w:w="1418"/>
        <w:gridCol w:w="1559"/>
        <w:gridCol w:w="1418"/>
        <w:gridCol w:w="1417"/>
        <w:gridCol w:w="1418"/>
      </w:tblGrid>
      <w:tr w:rsidR="00F43ECD" w:rsidRPr="00CF4C4E" w:rsidTr="00DF0DDF">
        <w:trPr>
          <w:trHeight w:val="169"/>
        </w:trPr>
        <w:tc>
          <w:tcPr>
            <w:tcW w:w="14132" w:type="dxa"/>
            <w:gridSpan w:val="9"/>
            <w:tcBorders>
              <w:top w:val="double" w:sz="4" w:space="0" w:color="auto"/>
              <w:left w:val="double" w:sz="4" w:space="0" w:color="auto"/>
              <w:right w:val="double" w:sz="4" w:space="0" w:color="auto"/>
            </w:tcBorders>
            <w:shd w:val="clear" w:color="auto" w:fill="E5B8B7" w:themeFill="accent2" w:themeFillTint="66"/>
          </w:tcPr>
          <w:p w:rsidR="00F43ECD" w:rsidRPr="00CF4C4E" w:rsidRDefault="00F43ECD" w:rsidP="00CF4C4E">
            <w:pPr>
              <w:pStyle w:val="Heading3"/>
              <w:spacing w:before="0"/>
              <w:rPr>
                <w:rFonts w:cs="Times New Roman"/>
                <w:szCs w:val="20"/>
                <w:lang w:val="en-GB"/>
              </w:rPr>
            </w:pPr>
            <w:bookmarkStart w:id="7" w:name="_Toc32409911"/>
            <w:r w:rsidRPr="00CF4C4E">
              <w:rPr>
                <w:rFonts w:cs="Times New Roman"/>
                <w:szCs w:val="20"/>
                <w:lang w:val="en-GB"/>
              </w:rPr>
              <w:t>Measure 2.1.</w:t>
            </w:r>
            <w:r w:rsidRPr="00CF4C4E">
              <w:rPr>
                <w:rFonts w:cs="Times New Roman"/>
                <w:b w:val="0"/>
                <w:bCs w:val="0"/>
                <w:szCs w:val="20"/>
                <w:lang w:val="en-GB"/>
              </w:rPr>
              <w:t xml:space="preserve"> </w:t>
            </w:r>
            <w:r w:rsidRPr="00CF4C4E">
              <w:rPr>
                <w:rFonts w:cs="Times New Roman"/>
                <w:szCs w:val="20"/>
                <w:lang w:val="en-GB"/>
              </w:rPr>
              <w:t>Improvement of efficiency of monitoring and quality of suspicious activity reports submitted by the obliged entities to the APML</w:t>
            </w:r>
            <w:bookmarkEnd w:id="7"/>
          </w:p>
        </w:tc>
      </w:tr>
      <w:tr w:rsidR="00F43ECD" w:rsidRPr="00CF4C4E" w:rsidTr="00DF0DDF">
        <w:trPr>
          <w:trHeight w:val="300"/>
        </w:trPr>
        <w:tc>
          <w:tcPr>
            <w:tcW w:w="14132" w:type="dxa"/>
            <w:gridSpan w:val="9"/>
            <w:tcBorders>
              <w:top w:val="double" w:sz="4" w:space="0" w:color="auto"/>
              <w:left w:val="double" w:sz="4" w:space="0" w:color="auto"/>
              <w:bottom w:val="double" w:sz="4" w:space="0" w:color="auto"/>
              <w:right w:val="double" w:sz="4" w:space="0" w:color="auto"/>
            </w:tcBorders>
            <w:shd w:val="clear" w:color="auto" w:fill="E5B8B7" w:themeFill="accent2" w:themeFillTint="66"/>
            <w:vAlign w:val="center"/>
          </w:tcPr>
          <w:p w:rsidR="00F43ECD" w:rsidRPr="00CF4C4E" w:rsidRDefault="00F43ECD" w:rsidP="00CF4C4E">
            <w:pPr>
              <w:rPr>
                <w:color w:val="auto"/>
                <w:sz w:val="20"/>
                <w:szCs w:val="20"/>
                <w:lang w:val="en-GB"/>
              </w:rPr>
            </w:pPr>
            <w:r w:rsidRPr="00CF4C4E">
              <w:rPr>
                <w:rFonts w:eastAsia="Times New Roman"/>
                <w:color w:val="auto"/>
                <w:sz w:val="20"/>
                <w:szCs w:val="20"/>
                <w:lang w:val="en-GB"/>
              </w:rPr>
              <w:t>Institution responsible for monitoring and control of implementation: Administration for the Prevention of Money Laundering</w:t>
            </w:r>
          </w:p>
        </w:tc>
      </w:tr>
      <w:tr w:rsidR="00F43ECD" w:rsidRPr="00CF4C4E" w:rsidTr="00DF0DDF">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E5B8B7" w:themeFill="accent2" w:themeFillTint="66"/>
          </w:tcPr>
          <w:p w:rsidR="00F43ECD" w:rsidRPr="00CF4C4E" w:rsidRDefault="00F43ECD" w:rsidP="00CF4C4E">
            <w:pPr>
              <w:rPr>
                <w:sz w:val="20"/>
                <w:szCs w:val="20"/>
                <w:lang w:val="en-GB"/>
              </w:rPr>
            </w:pPr>
            <w:r w:rsidRPr="00CF4C4E">
              <w:rPr>
                <w:sz w:val="20"/>
                <w:szCs w:val="20"/>
                <w:lang w:val="en-GB"/>
              </w:rPr>
              <w:t>Implementation period: 2020-2022</w:t>
            </w:r>
          </w:p>
        </w:tc>
        <w:tc>
          <w:tcPr>
            <w:tcW w:w="7230" w:type="dxa"/>
            <w:gridSpan w:val="5"/>
            <w:tcBorders>
              <w:top w:val="double" w:sz="4" w:space="0" w:color="auto"/>
              <w:left w:val="double" w:sz="4" w:space="0" w:color="auto"/>
              <w:bottom w:val="double" w:sz="4" w:space="0" w:color="auto"/>
              <w:right w:val="double" w:sz="4" w:space="0" w:color="auto"/>
            </w:tcBorders>
            <w:shd w:val="clear" w:color="auto" w:fill="E5B8B7" w:themeFill="accent2" w:themeFillTint="66"/>
          </w:tcPr>
          <w:p w:rsidR="00F43ECD" w:rsidRPr="00CF4C4E" w:rsidRDefault="00F43ECD" w:rsidP="00CF4C4E">
            <w:pPr>
              <w:rPr>
                <w:sz w:val="20"/>
                <w:szCs w:val="20"/>
                <w:lang w:val="en-GB"/>
              </w:rPr>
            </w:pPr>
            <w:r w:rsidRPr="00CF4C4E">
              <w:rPr>
                <w:sz w:val="20"/>
                <w:szCs w:val="20"/>
                <w:lang w:val="en-GB"/>
              </w:rPr>
              <w:t>Type of measure: Institutional-governance-organisational</w:t>
            </w:r>
          </w:p>
        </w:tc>
      </w:tr>
      <w:tr w:rsidR="00DF0DDF" w:rsidRPr="00CF4C4E" w:rsidTr="00CF4C4E">
        <w:trPr>
          <w:trHeight w:val="716"/>
        </w:trPr>
        <w:tc>
          <w:tcPr>
            <w:tcW w:w="3217"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Indicator(s) at the level of measure (result indicator):</w:t>
            </w:r>
          </w:p>
        </w:tc>
        <w:tc>
          <w:tcPr>
            <w:tcW w:w="1375"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Unit of measurement</w:t>
            </w:r>
          </w:p>
          <w:p w:rsidR="00DF0DDF" w:rsidRPr="00CF4C4E" w:rsidRDefault="00DF0DDF" w:rsidP="00CF4C4E">
            <w:pPr>
              <w:rPr>
                <w:sz w:val="20"/>
                <w:szCs w:val="20"/>
                <w:lang w:val="en-GB"/>
              </w:rPr>
            </w:pPr>
          </w:p>
        </w:tc>
        <w:tc>
          <w:tcPr>
            <w:tcW w:w="2169"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Source of verification</w:t>
            </w:r>
          </w:p>
        </w:tc>
        <w:tc>
          <w:tcPr>
            <w:tcW w:w="1559" w:type="dxa"/>
            <w:gridSpan w:val="2"/>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 xml:space="preserve">Base value </w:t>
            </w:r>
          </w:p>
        </w:tc>
        <w:tc>
          <w:tcPr>
            <w:tcW w:w="1559"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Base year</w:t>
            </w:r>
          </w:p>
        </w:tc>
        <w:tc>
          <w:tcPr>
            <w:tcW w:w="1418"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Target value in 2020</w:t>
            </w:r>
          </w:p>
        </w:tc>
        <w:tc>
          <w:tcPr>
            <w:tcW w:w="1417" w:type="dxa"/>
            <w:tcBorders>
              <w:top w:val="double" w:sz="4" w:space="0" w:color="auto"/>
              <w:right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Target value in 2021</w:t>
            </w:r>
          </w:p>
        </w:tc>
        <w:tc>
          <w:tcPr>
            <w:tcW w:w="1418" w:type="dxa"/>
            <w:tcBorders>
              <w:top w:val="double" w:sz="4" w:space="0" w:color="auto"/>
              <w:right w:val="double" w:sz="4" w:space="0" w:color="auto"/>
            </w:tcBorders>
            <w:shd w:val="clear" w:color="auto" w:fill="D9D9D9" w:themeFill="background1" w:themeFillShade="D9"/>
          </w:tcPr>
          <w:p w:rsidR="00DF0DDF" w:rsidRPr="00CF4C4E" w:rsidRDefault="00885F9C" w:rsidP="00CF4C4E">
            <w:pPr>
              <w:rPr>
                <w:sz w:val="20"/>
                <w:szCs w:val="20"/>
                <w:lang w:val="en-GB"/>
              </w:rPr>
            </w:pPr>
            <w:r w:rsidRPr="00CF4C4E">
              <w:rPr>
                <w:sz w:val="20"/>
                <w:szCs w:val="20"/>
                <w:lang w:val="en-GB"/>
              </w:rPr>
              <w:t>Target value in 2022</w:t>
            </w:r>
          </w:p>
          <w:p w:rsidR="00C44B14" w:rsidRPr="00CF4C4E" w:rsidRDefault="00C44B14" w:rsidP="00CF4C4E">
            <w:pPr>
              <w:rPr>
                <w:sz w:val="20"/>
                <w:szCs w:val="20"/>
                <w:lang w:val="en-GB"/>
              </w:rPr>
            </w:pPr>
          </w:p>
          <w:p w:rsidR="00C44B14" w:rsidRPr="00CF4C4E" w:rsidRDefault="00C44B14" w:rsidP="00CF4C4E">
            <w:pPr>
              <w:rPr>
                <w:sz w:val="20"/>
                <w:szCs w:val="20"/>
                <w:lang w:val="en-GB"/>
              </w:rPr>
            </w:pPr>
          </w:p>
        </w:tc>
      </w:tr>
      <w:tr w:rsidR="00321E8D" w:rsidRPr="00CF4C4E" w:rsidTr="00CF4C4E">
        <w:trPr>
          <w:trHeight w:val="304"/>
        </w:trPr>
        <w:tc>
          <w:tcPr>
            <w:tcW w:w="3217" w:type="dxa"/>
            <w:tcBorders>
              <w:top w:val="double" w:sz="4" w:space="0" w:color="auto"/>
              <w:bottom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color w:val="auto"/>
                <w:sz w:val="20"/>
                <w:szCs w:val="20"/>
                <w:lang w:val="en-GB"/>
              </w:rPr>
              <w:t>Progress on immediate outcome 6 under the FATF Methodology, annually</w:t>
            </w:r>
          </w:p>
        </w:tc>
        <w:tc>
          <w:tcPr>
            <w:tcW w:w="1375" w:type="dxa"/>
            <w:tcBorders>
              <w:top w:val="double" w:sz="4" w:space="0" w:color="auto"/>
              <w:bottom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sz w:val="20"/>
                <w:szCs w:val="20"/>
                <w:lang w:val="en-GB"/>
              </w:rPr>
              <w:t>Yes/No</w:t>
            </w:r>
          </w:p>
        </w:tc>
        <w:tc>
          <w:tcPr>
            <w:tcW w:w="2169" w:type="dxa"/>
            <w:tcBorders>
              <w:top w:val="double" w:sz="4" w:space="0" w:color="auto"/>
              <w:bottom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sz w:val="20"/>
                <w:szCs w:val="20"/>
                <w:lang w:val="en-GB"/>
              </w:rPr>
              <w:t xml:space="preserve">Progress reports by competent authorities and Moneyval </w:t>
            </w:r>
          </w:p>
        </w:tc>
        <w:tc>
          <w:tcPr>
            <w:tcW w:w="1559" w:type="dxa"/>
            <w:gridSpan w:val="2"/>
            <w:tcBorders>
              <w:top w:val="double" w:sz="4" w:space="0" w:color="auto"/>
              <w:bottom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sz w:val="20"/>
                <w:szCs w:val="20"/>
                <w:lang w:val="en-GB"/>
              </w:rPr>
              <w:t>Yes.</w:t>
            </w:r>
          </w:p>
        </w:tc>
        <w:tc>
          <w:tcPr>
            <w:tcW w:w="1559" w:type="dxa"/>
            <w:tcBorders>
              <w:top w:val="double" w:sz="4" w:space="0" w:color="auto"/>
              <w:bottom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sz w:val="20"/>
                <w:szCs w:val="20"/>
                <w:lang w:val="en-GB"/>
              </w:rPr>
              <w:t>2019</w:t>
            </w:r>
          </w:p>
        </w:tc>
        <w:tc>
          <w:tcPr>
            <w:tcW w:w="1418" w:type="dxa"/>
            <w:tcBorders>
              <w:top w:val="double" w:sz="4" w:space="0" w:color="auto"/>
              <w:bottom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sz w:val="20"/>
                <w:szCs w:val="20"/>
                <w:lang w:val="en-GB"/>
              </w:rPr>
              <w:t>Yes.</w:t>
            </w:r>
          </w:p>
        </w:tc>
        <w:tc>
          <w:tcPr>
            <w:tcW w:w="1417" w:type="dxa"/>
            <w:tcBorders>
              <w:top w:val="double" w:sz="4" w:space="0" w:color="auto"/>
              <w:bottom w:val="double" w:sz="4" w:space="0" w:color="auto"/>
              <w:right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sz w:val="20"/>
                <w:szCs w:val="20"/>
                <w:lang w:val="en-GB"/>
              </w:rPr>
              <w:t>Yes.</w:t>
            </w:r>
          </w:p>
        </w:tc>
        <w:tc>
          <w:tcPr>
            <w:tcW w:w="1418" w:type="dxa"/>
            <w:tcBorders>
              <w:top w:val="double" w:sz="4" w:space="0" w:color="auto"/>
              <w:bottom w:val="double" w:sz="4" w:space="0" w:color="auto"/>
              <w:right w:val="double" w:sz="4" w:space="0" w:color="auto"/>
            </w:tcBorders>
            <w:shd w:val="clear" w:color="auto" w:fill="FFFFFF" w:themeFill="background1"/>
          </w:tcPr>
          <w:p w:rsidR="00321E8D" w:rsidRPr="00CF4C4E" w:rsidRDefault="00321E8D" w:rsidP="00CF4C4E">
            <w:pPr>
              <w:shd w:val="clear" w:color="auto" w:fill="FFFFFF" w:themeFill="background1"/>
              <w:rPr>
                <w:sz w:val="20"/>
                <w:szCs w:val="20"/>
                <w:lang w:val="en-GB"/>
              </w:rPr>
            </w:pPr>
            <w:r w:rsidRPr="00CF4C4E">
              <w:rPr>
                <w:sz w:val="20"/>
                <w:szCs w:val="20"/>
                <w:lang w:val="en-GB"/>
              </w:rPr>
              <w:t>Yes.</w:t>
            </w:r>
          </w:p>
        </w:tc>
      </w:tr>
    </w:tbl>
    <w:p w:rsidR="00F43ECD" w:rsidRPr="00CF4C4E" w:rsidRDefault="00F43ECD" w:rsidP="00CF4C4E">
      <w:pPr>
        <w:rPr>
          <w:sz w:val="20"/>
          <w:szCs w:val="20"/>
          <w:lang w:val="en-GB"/>
        </w:rPr>
      </w:pPr>
    </w:p>
    <w:p w:rsidR="00FA1340" w:rsidRPr="00CF4C4E" w:rsidRDefault="00FA1340" w:rsidP="00CF4C4E">
      <w:pPr>
        <w:rPr>
          <w:sz w:val="20"/>
          <w:szCs w:val="20"/>
          <w:lang w:val="en-GB"/>
        </w:rPr>
      </w:pPr>
    </w:p>
    <w:tbl>
      <w:tblPr>
        <w:tblStyle w:val="TableGrid"/>
        <w:tblW w:w="5000" w:type="pct"/>
        <w:tblLayout w:type="fixed"/>
        <w:tblLook w:val="04A0"/>
      </w:tblPr>
      <w:tblGrid>
        <w:gridCol w:w="2392"/>
        <w:gridCol w:w="1143"/>
        <w:gridCol w:w="1236"/>
        <w:gridCol w:w="1157"/>
        <w:gridCol w:w="1568"/>
        <w:gridCol w:w="1154"/>
        <w:gridCol w:w="1990"/>
        <w:gridCol w:w="1675"/>
        <w:gridCol w:w="1860"/>
      </w:tblGrid>
      <w:tr w:rsidR="00D53854" w:rsidRPr="00CF4C4E" w:rsidTr="00D53854">
        <w:trPr>
          <w:trHeight w:val="140"/>
        </w:trPr>
        <w:tc>
          <w:tcPr>
            <w:tcW w:w="844" w:type="pct"/>
            <w:vMerge w:val="restart"/>
            <w:tcBorders>
              <w:top w:val="double" w:sz="4" w:space="0" w:color="auto"/>
              <w:left w:val="double" w:sz="4" w:space="0" w:color="auto"/>
            </w:tcBorders>
            <w:shd w:val="clear" w:color="auto" w:fill="E5DFEC" w:themeFill="accent4" w:themeFillTint="33"/>
          </w:tcPr>
          <w:p w:rsidR="00D53854" w:rsidRPr="00CF4C4E" w:rsidRDefault="00D53854" w:rsidP="00CF4C4E">
            <w:pPr>
              <w:rPr>
                <w:b/>
                <w:sz w:val="20"/>
                <w:szCs w:val="20"/>
                <w:lang w:val="en-GB"/>
              </w:rPr>
            </w:pPr>
            <w:r w:rsidRPr="00CF4C4E">
              <w:rPr>
                <w:b/>
                <w:bCs/>
                <w:sz w:val="20"/>
                <w:szCs w:val="20"/>
                <w:lang w:val="en-GB"/>
              </w:rPr>
              <w:t>Activity title:</w:t>
            </w:r>
          </w:p>
        </w:tc>
        <w:tc>
          <w:tcPr>
            <w:tcW w:w="403" w:type="pct"/>
            <w:vMerge w:val="restart"/>
            <w:tcBorders>
              <w:top w:val="double" w:sz="4" w:space="0" w:color="auto"/>
            </w:tcBorders>
            <w:shd w:val="clear" w:color="auto" w:fill="E5DFEC" w:themeFill="accent4" w:themeFillTint="33"/>
          </w:tcPr>
          <w:p w:rsidR="00D53854" w:rsidRPr="00CF4C4E" w:rsidRDefault="00D53854" w:rsidP="00CF4C4E">
            <w:pPr>
              <w:rPr>
                <w:b/>
                <w:sz w:val="20"/>
                <w:szCs w:val="20"/>
                <w:lang w:val="en-GB"/>
              </w:rPr>
            </w:pPr>
            <w:r w:rsidRPr="00CF4C4E">
              <w:rPr>
                <w:b/>
                <w:bCs/>
                <w:sz w:val="20"/>
                <w:szCs w:val="20"/>
                <w:lang w:val="en-GB"/>
              </w:rPr>
              <w:t>Authority implementing the activity</w:t>
            </w:r>
          </w:p>
        </w:tc>
        <w:tc>
          <w:tcPr>
            <w:tcW w:w="436" w:type="pct"/>
            <w:vMerge w:val="restart"/>
            <w:tcBorders>
              <w:top w:val="double" w:sz="4" w:space="0" w:color="auto"/>
            </w:tcBorders>
            <w:shd w:val="clear" w:color="auto" w:fill="E5DFEC" w:themeFill="accent4" w:themeFillTint="33"/>
          </w:tcPr>
          <w:p w:rsidR="00D53854" w:rsidRPr="00CF4C4E" w:rsidRDefault="00D53854" w:rsidP="00CF4C4E">
            <w:pPr>
              <w:rPr>
                <w:b/>
                <w:sz w:val="20"/>
                <w:szCs w:val="20"/>
                <w:lang w:val="en-GB"/>
              </w:rPr>
            </w:pPr>
            <w:r w:rsidRPr="00CF4C4E">
              <w:rPr>
                <w:b/>
                <w:bCs/>
                <w:sz w:val="20"/>
                <w:szCs w:val="20"/>
                <w:lang w:val="en-GB"/>
              </w:rPr>
              <w:t>Partners in the implementation of the activity</w:t>
            </w:r>
          </w:p>
        </w:tc>
        <w:tc>
          <w:tcPr>
            <w:tcW w:w="408" w:type="pct"/>
            <w:vMerge w:val="restart"/>
            <w:tcBorders>
              <w:top w:val="double" w:sz="4" w:space="0" w:color="auto"/>
            </w:tcBorders>
            <w:shd w:val="clear" w:color="auto" w:fill="E5DFEC" w:themeFill="accent4" w:themeFillTint="33"/>
          </w:tcPr>
          <w:p w:rsidR="00D53854" w:rsidRPr="00CF4C4E" w:rsidRDefault="00D53854" w:rsidP="00CF4C4E">
            <w:pPr>
              <w:jc w:val="center"/>
              <w:rPr>
                <w:b/>
                <w:sz w:val="20"/>
                <w:szCs w:val="20"/>
                <w:lang w:val="en-GB"/>
              </w:rPr>
            </w:pPr>
            <w:r w:rsidRPr="00CF4C4E">
              <w:rPr>
                <w:b/>
                <w:bCs/>
                <w:sz w:val="20"/>
                <w:szCs w:val="20"/>
                <w:lang w:val="en-GB"/>
              </w:rPr>
              <w:t>Deadline for completion of activity</w:t>
            </w:r>
          </w:p>
        </w:tc>
        <w:tc>
          <w:tcPr>
            <w:tcW w:w="553" w:type="pct"/>
            <w:vMerge w:val="restart"/>
            <w:tcBorders>
              <w:top w:val="double" w:sz="4" w:space="0" w:color="auto"/>
            </w:tcBorders>
            <w:shd w:val="clear" w:color="auto" w:fill="E5DFEC" w:themeFill="accent4" w:themeFillTint="33"/>
          </w:tcPr>
          <w:p w:rsidR="00D53854" w:rsidRPr="00CF4C4E" w:rsidRDefault="00D53854" w:rsidP="00CF4C4E">
            <w:pPr>
              <w:jc w:val="center"/>
              <w:rPr>
                <w:b/>
                <w:sz w:val="20"/>
                <w:szCs w:val="20"/>
                <w:lang w:val="en-GB"/>
              </w:rPr>
            </w:pPr>
            <w:r w:rsidRPr="00CF4C4E">
              <w:rPr>
                <w:b/>
                <w:bCs/>
                <w:sz w:val="20"/>
                <w:szCs w:val="20"/>
                <w:lang w:val="en-GB"/>
              </w:rPr>
              <w:t>Source of financing</w:t>
            </w:r>
          </w:p>
        </w:tc>
        <w:tc>
          <w:tcPr>
            <w:tcW w:w="407" w:type="pct"/>
            <w:vMerge w:val="restart"/>
            <w:tcBorders>
              <w:top w:val="double" w:sz="4" w:space="0" w:color="auto"/>
            </w:tcBorders>
            <w:shd w:val="clear" w:color="auto" w:fill="E5DFEC" w:themeFill="accent4" w:themeFillTint="33"/>
          </w:tcPr>
          <w:p w:rsidR="00D53854" w:rsidRPr="00CF4C4E" w:rsidRDefault="00D53854" w:rsidP="00CF4C4E">
            <w:pPr>
              <w:rPr>
                <w:b/>
                <w:sz w:val="20"/>
                <w:szCs w:val="20"/>
                <w:lang w:val="en-GB"/>
              </w:rPr>
            </w:pPr>
            <w:r w:rsidRPr="00CF4C4E">
              <w:rPr>
                <w:b/>
                <w:bCs/>
                <w:sz w:val="20"/>
                <w:szCs w:val="20"/>
                <w:lang w:val="en-GB"/>
              </w:rPr>
              <w:t>Link to programme budget</w:t>
            </w:r>
          </w:p>
          <w:p w:rsidR="00D53854" w:rsidRPr="00CF4C4E" w:rsidRDefault="00D53854" w:rsidP="00CF4C4E">
            <w:pPr>
              <w:jc w:val="center"/>
              <w:rPr>
                <w:b/>
                <w:sz w:val="20"/>
                <w:szCs w:val="20"/>
                <w:lang w:val="en-GB"/>
              </w:rPr>
            </w:pPr>
          </w:p>
        </w:tc>
        <w:tc>
          <w:tcPr>
            <w:tcW w:w="1949" w:type="pct"/>
            <w:gridSpan w:val="3"/>
            <w:tcBorders>
              <w:top w:val="double" w:sz="4" w:space="0" w:color="auto"/>
            </w:tcBorders>
            <w:shd w:val="clear" w:color="auto" w:fill="E5DFEC" w:themeFill="accent4" w:themeFillTint="33"/>
          </w:tcPr>
          <w:p w:rsidR="00D53854" w:rsidRPr="00CF4C4E" w:rsidRDefault="00D53854" w:rsidP="00CF4C4E">
            <w:pPr>
              <w:jc w:val="center"/>
              <w:rPr>
                <w:b/>
                <w:sz w:val="20"/>
                <w:szCs w:val="20"/>
                <w:lang w:val="en-GB"/>
              </w:rPr>
            </w:pPr>
            <w:r w:rsidRPr="00CF4C4E">
              <w:rPr>
                <w:b/>
                <w:bCs/>
                <w:sz w:val="20"/>
                <w:szCs w:val="20"/>
                <w:lang w:val="en-GB"/>
              </w:rPr>
              <w:t>Total assessed financial resources by source in RSD 000</w:t>
            </w:r>
          </w:p>
        </w:tc>
      </w:tr>
      <w:tr w:rsidR="00DB34B7" w:rsidRPr="00CF4C4E" w:rsidTr="00DB34B7">
        <w:trPr>
          <w:trHeight w:val="386"/>
        </w:trPr>
        <w:tc>
          <w:tcPr>
            <w:tcW w:w="844" w:type="pct"/>
            <w:vMerge/>
            <w:tcBorders>
              <w:left w:val="double" w:sz="4" w:space="0" w:color="auto"/>
            </w:tcBorders>
            <w:shd w:val="clear" w:color="auto" w:fill="E5DFEC" w:themeFill="accent4" w:themeFillTint="33"/>
          </w:tcPr>
          <w:p w:rsidR="00DB34B7" w:rsidRPr="00CF4C4E" w:rsidRDefault="00DB34B7" w:rsidP="00CF4C4E">
            <w:pPr>
              <w:rPr>
                <w:sz w:val="20"/>
                <w:szCs w:val="20"/>
                <w:lang w:val="en-GB"/>
              </w:rPr>
            </w:pPr>
          </w:p>
        </w:tc>
        <w:tc>
          <w:tcPr>
            <w:tcW w:w="403" w:type="pct"/>
            <w:vMerge/>
            <w:shd w:val="clear" w:color="auto" w:fill="E5DFEC" w:themeFill="accent4" w:themeFillTint="33"/>
          </w:tcPr>
          <w:p w:rsidR="00DB34B7" w:rsidRPr="00CF4C4E" w:rsidRDefault="00DB34B7" w:rsidP="00CF4C4E">
            <w:pPr>
              <w:rPr>
                <w:sz w:val="20"/>
                <w:szCs w:val="20"/>
                <w:lang w:val="en-GB"/>
              </w:rPr>
            </w:pPr>
          </w:p>
        </w:tc>
        <w:tc>
          <w:tcPr>
            <w:tcW w:w="436" w:type="pct"/>
            <w:vMerge/>
            <w:shd w:val="clear" w:color="auto" w:fill="E5DFEC" w:themeFill="accent4" w:themeFillTint="33"/>
          </w:tcPr>
          <w:p w:rsidR="00DB34B7" w:rsidRPr="00CF4C4E" w:rsidRDefault="00DB34B7" w:rsidP="00CF4C4E">
            <w:pPr>
              <w:rPr>
                <w:sz w:val="20"/>
                <w:szCs w:val="20"/>
                <w:lang w:val="en-GB"/>
              </w:rPr>
            </w:pPr>
          </w:p>
        </w:tc>
        <w:tc>
          <w:tcPr>
            <w:tcW w:w="408" w:type="pct"/>
            <w:vMerge/>
            <w:shd w:val="clear" w:color="auto" w:fill="E5DFEC" w:themeFill="accent4" w:themeFillTint="33"/>
          </w:tcPr>
          <w:p w:rsidR="00DB34B7" w:rsidRPr="00CF4C4E" w:rsidRDefault="00DB34B7" w:rsidP="00CF4C4E">
            <w:pPr>
              <w:jc w:val="center"/>
              <w:rPr>
                <w:sz w:val="20"/>
                <w:szCs w:val="20"/>
                <w:lang w:val="en-GB"/>
              </w:rPr>
            </w:pPr>
          </w:p>
        </w:tc>
        <w:tc>
          <w:tcPr>
            <w:tcW w:w="553" w:type="pct"/>
            <w:vMerge/>
            <w:shd w:val="clear" w:color="auto" w:fill="E5DFEC" w:themeFill="accent4" w:themeFillTint="33"/>
          </w:tcPr>
          <w:p w:rsidR="00DB34B7" w:rsidRPr="00CF4C4E" w:rsidRDefault="00DB34B7" w:rsidP="00CF4C4E">
            <w:pPr>
              <w:jc w:val="center"/>
              <w:rPr>
                <w:sz w:val="20"/>
                <w:szCs w:val="20"/>
                <w:lang w:val="en-GB"/>
              </w:rPr>
            </w:pPr>
          </w:p>
        </w:tc>
        <w:tc>
          <w:tcPr>
            <w:tcW w:w="407" w:type="pct"/>
            <w:vMerge/>
            <w:shd w:val="clear" w:color="auto" w:fill="E5DFEC" w:themeFill="accent4" w:themeFillTint="33"/>
          </w:tcPr>
          <w:p w:rsidR="00DB34B7" w:rsidRPr="00CF4C4E" w:rsidRDefault="00DB34B7" w:rsidP="00CF4C4E">
            <w:pPr>
              <w:jc w:val="center"/>
              <w:rPr>
                <w:sz w:val="20"/>
                <w:szCs w:val="20"/>
                <w:lang w:val="en-GB"/>
              </w:rPr>
            </w:pPr>
          </w:p>
        </w:tc>
        <w:tc>
          <w:tcPr>
            <w:tcW w:w="702" w:type="pct"/>
            <w:shd w:val="clear" w:color="auto" w:fill="E5DFEC" w:themeFill="accent4" w:themeFillTint="33"/>
          </w:tcPr>
          <w:p w:rsidR="00DB34B7" w:rsidRPr="00CF4C4E" w:rsidRDefault="00DB34B7" w:rsidP="00CF4C4E">
            <w:pPr>
              <w:jc w:val="center"/>
              <w:rPr>
                <w:b/>
                <w:sz w:val="20"/>
                <w:szCs w:val="20"/>
                <w:lang w:val="en-GB"/>
              </w:rPr>
            </w:pPr>
            <w:r w:rsidRPr="00CF4C4E">
              <w:rPr>
                <w:b/>
                <w:bCs/>
                <w:sz w:val="20"/>
                <w:szCs w:val="20"/>
                <w:lang w:val="en-GB"/>
              </w:rPr>
              <w:t>2020</w:t>
            </w:r>
          </w:p>
        </w:tc>
        <w:tc>
          <w:tcPr>
            <w:tcW w:w="591" w:type="pct"/>
            <w:shd w:val="clear" w:color="auto" w:fill="E5DFEC" w:themeFill="accent4" w:themeFillTint="33"/>
          </w:tcPr>
          <w:p w:rsidR="00DB34B7" w:rsidRPr="00CF4C4E" w:rsidRDefault="00DB34B7" w:rsidP="00CF4C4E">
            <w:pPr>
              <w:jc w:val="center"/>
              <w:rPr>
                <w:b/>
                <w:sz w:val="20"/>
                <w:szCs w:val="20"/>
                <w:lang w:val="en-GB"/>
              </w:rPr>
            </w:pPr>
            <w:r w:rsidRPr="00CF4C4E">
              <w:rPr>
                <w:b/>
                <w:bCs/>
                <w:sz w:val="20"/>
                <w:szCs w:val="20"/>
                <w:lang w:val="en-GB"/>
              </w:rPr>
              <w:t>2021</w:t>
            </w:r>
          </w:p>
        </w:tc>
        <w:tc>
          <w:tcPr>
            <w:tcW w:w="656" w:type="pct"/>
            <w:shd w:val="clear" w:color="auto" w:fill="E5DFEC" w:themeFill="accent4" w:themeFillTint="33"/>
          </w:tcPr>
          <w:p w:rsidR="00DB34B7" w:rsidRPr="00CF4C4E" w:rsidRDefault="00DB34B7" w:rsidP="00CF4C4E">
            <w:pPr>
              <w:jc w:val="center"/>
              <w:rPr>
                <w:b/>
                <w:sz w:val="20"/>
                <w:szCs w:val="20"/>
                <w:lang w:val="en-GB"/>
              </w:rPr>
            </w:pPr>
            <w:r w:rsidRPr="00CF4C4E">
              <w:rPr>
                <w:b/>
                <w:bCs/>
                <w:sz w:val="20"/>
                <w:szCs w:val="20"/>
                <w:lang w:val="en-GB"/>
              </w:rPr>
              <w:t>2022</w:t>
            </w:r>
          </w:p>
        </w:tc>
      </w:tr>
      <w:tr w:rsidR="001254C3" w:rsidRPr="00CF4C4E" w:rsidTr="00DB34B7">
        <w:trPr>
          <w:trHeight w:val="543"/>
        </w:trPr>
        <w:tc>
          <w:tcPr>
            <w:tcW w:w="844" w:type="pct"/>
            <w:vMerge w:val="restart"/>
            <w:tcBorders>
              <w:left w:val="double" w:sz="4" w:space="0" w:color="auto"/>
            </w:tcBorders>
          </w:tcPr>
          <w:p w:rsidR="001254C3" w:rsidRPr="00CF4C4E" w:rsidRDefault="001254C3" w:rsidP="00CF4C4E">
            <w:pPr>
              <w:rPr>
                <w:sz w:val="20"/>
                <w:szCs w:val="20"/>
                <w:lang w:val="en-GB"/>
              </w:rPr>
            </w:pPr>
            <w:r w:rsidRPr="00CF4C4E">
              <w:rPr>
                <w:sz w:val="20"/>
                <w:szCs w:val="20"/>
                <w:lang w:val="en-GB"/>
              </w:rPr>
              <w:t>2.1.1. Adopt new or improve current recommendations for reporting suspicious activities (SARs) to the APML</w:t>
            </w:r>
          </w:p>
        </w:tc>
        <w:tc>
          <w:tcPr>
            <w:tcW w:w="403" w:type="pct"/>
            <w:vMerge w:val="restart"/>
          </w:tcPr>
          <w:p w:rsidR="001254C3" w:rsidRPr="00CF4C4E" w:rsidRDefault="001254C3" w:rsidP="00CF4C4E">
            <w:pPr>
              <w:rPr>
                <w:sz w:val="20"/>
                <w:szCs w:val="20"/>
                <w:lang w:val="en-GB"/>
              </w:rPr>
            </w:pPr>
            <w:r w:rsidRPr="00CF4C4E">
              <w:rPr>
                <w:sz w:val="20"/>
                <w:szCs w:val="20"/>
                <w:lang w:val="en-GB"/>
              </w:rPr>
              <w:t xml:space="preserve">APML </w:t>
            </w:r>
          </w:p>
        </w:tc>
        <w:tc>
          <w:tcPr>
            <w:tcW w:w="436" w:type="pct"/>
            <w:vMerge w:val="restart"/>
          </w:tcPr>
          <w:p w:rsidR="001254C3" w:rsidRPr="00CF4C4E" w:rsidRDefault="0009405E" w:rsidP="00CF4C4E">
            <w:pPr>
              <w:rPr>
                <w:sz w:val="20"/>
                <w:szCs w:val="20"/>
                <w:lang w:val="en-GB"/>
              </w:rPr>
            </w:pPr>
            <w:r w:rsidRPr="00CF4C4E">
              <w:rPr>
                <w:sz w:val="20"/>
                <w:szCs w:val="20"/>
                <w:lang w:val="en-GB"/>
              </w:rPr>
              <w:t>Supervisory authorities, MoI, RPPO</w:t>
            </w:r>
          </w:p>
        </w:tc>
        <w:tc>
          <w:tcPr>
            <w:tcW w:w="408" w:type="pct"/>
            <w:vMerge w:val="restart"/>
          </w:tcPr>
          <w:p w:rsidR="001254C3" w:rsidRPr="00CF4C4E" w:rsidRDefault="001254C3" w:rsidP="00CF4C4E">
            <w:pPr>
              <w:rPr>
                <w:sz w:val="20"/>
                <w:szCs w:val="20"/>
                <w:lang w:val="en-GB"/>
              </w:rPr>
            </w:pPr>
            <w:r w:rsidRPr="00CF4C4E">
              <w:rPr>
                <w:sz w:val="20"/>
                <w:szCs w:val="20"/>
                <w:lang w:val="en-GB"/>
              </w:rPr>
              <w:t>December 2020</w:t>
            </w:r>
          </w:p>
        </w:tc>
        <w:tc>
          <w:tcPr>
            <w:tcW w:w="553" w:type="pct"/>
          </w:tcPr>
          <w:p w:rsidR="001254C3" w:rsidRPr="00CF4C4E" w:rsidRDefault="001254C3" w:rsidP="00CF4C4E">
            <w:pPr>
              <w:rPr>
                <w:sz w:val="20"/>
                <w:szCs w:val="20"/>
                <w:lang w:val="en-GB"/>
              </w:rPr>
            </w:pPr>
            <w:r w:rsidRPr="00CF4C4E">
              <w:rPr>
                <w:sz w:val="20"/>
                <w:szCs w:val="20"/>
                <w:lang w:val="en-GB"/>
              </w:rPr>
              <w:t>Source 1 - EU Support to Prevention of Money Laundering in Serbia Project</w:t>
            </w:r>
          </w:p>
        </w:tc>
        <w:tc>
          <w:tcPr>
            <w:tcW w:w="407" w:type="pct"/>
          </w:tcPr>
          <w:p w:rsidR="001254C3" w:rsidRPr="00CF4C4E" w:rsidRDefault="001254C3" w:rsidP="00CF4C4E">
            <w:pPr>
              <w:rPr>
                <w:sz w:val="20"/>
                <w:szCs w:val="20"/>
                <w:lang w:val="en-GB"/>
              </w:rPr>
            </w:pPr>
          </w:p>
        </w:tc>
        <w:tc>
          <w:tcPr>
            <w:tcW w:w="702" w:type="pct"/>
          </w:tcPr>
          <w:p w:rsidR="001254C3" w:rsidRPr="00CF4C4E" w:rsidRDefault="001254C3" w:rsidP="00CF4C4E">
            <w:pPr>
              <w:rPr>
                <w:sz w:val="20"/>
                <w:szCs w:val="20"/>
                <w:lang w:val="en-GB"/>
              </w:rPr>
            </w:pPr>
          </w:p>
        </w:tc>
        <w:tc>
          <w:tcPr>
            <w:tcW w:w="591" w:type="pct"/>
          </w:tcPr>
          <w:p w:rsidR="001254C3" w:rsidRPr="00CF4C4E" w:rsidRDefault="001254C3" w:rsidP="00CF4C4E">
            <w:pPr>
              <w:rPr>
                <w:sz w:val="20"/>
                <w:szCs w:val="20"/>
                <w:lang w:val="en-GB"/>
              </w:rPr>
            </w:pPr>
          </w:p>
        </w:tc>
        <w:tc>
          <w:tcPr>
            <w:tcW w:w="656" w:type="pct"/>
          </w:tcPr>
          <w:p w:rsidR="001254C3" w:rsidRPr="00CF4C4E" w:rsidRDefault="001254C3" w:rsidP="00CF4C4E">
            <w:pPr>
              <w:rPr>
                <w:sz w:val="20"/>
                <w:szCs w:val="20"/>
                <w:lang w:val="en-GB"/>
              </w:rPr>
            </w:pPr>
          </w:p>
        </w:tc>
      </w:tr>
      <w:tr w:rsidR="001254C3" w:rsidRPr="00CF4C4E" w:rsidTr="00DB34B7">
        <w:trPr>
          <w:trHeight w:val="140"/>
        </w:trPr>
        <w:tc>
          <w:tcPr>
            <w:tcW w:w="844" w:type="pct"/>
            <w:vMerge/>
            <w:tcBorders>
              <w:left w:val="double" w:sz="4" w:space="0" w:color="auto"/>
            </w:tcBorders>
          </w:tcPr>
          <w:p w:rsidR="001254C3" w:rsidRPr="00CF4C4E" w:rsidRDefault="001254C3" w:rsidP="00CF4C4E">
            <w:pPr>
              <w:rPr>
                <w:sz w:val="20"/>
                <w:szCs w:val="20"/>
                <w:lang w:val="en-GB"/>
              </w:rPr>
            </w:pPr>
          </w:p>
        </w:tc>
        <w:tc>
          <w:tcPr>
            <w:tcW w:w="403" w:type="pct"/>
            <w:vMerge/>
          </w:tcPr>
          <w:p w:rsidR="001254C3" w:rsidRPr="00CF4C4E" w:rsidRDefault="001254C3" w:rsidP="00CF4C4E">
            <w:pPr>
              <w:rPr>
                <w:sz w:val="20"/>
                <w:szCs w:val="20"/>
                <w:lang w:val="en-GB"/>
              </w:rPr>
            </w:pPr>
          </w:p>
        </w:tc>
        <w:tc>
          <w:tcPr>
            <w:tcW w:w="436" w:type="pct"/>
            <w:vMerge/>
          </w:tcPr>
          <w:p w:rsidR="001254C3" w:rsidRPr="00CF4C4E" w:rsidRDefault="001254C3" w:rsidP="00CF4C4E">
            <w:pPr>
              <w:rPr>
                <w:sz w:val="20"/>
                <w:szCs w:val="20"/>
                <w:lang w:val="en-GB"/>
              </w:rPr>
            </w:pPr>
          </w:p>
        </w:tc>
        <w:tc>
          <w:tcPr>
            <w:tcW w:w="408" w:type="pct"/>
            <w:vMerge/>
          </w:tcPr>
          <w:p w:rsidR="001254C3" w:rsidRPr="00CF4C4E" w:rsidRDefault="001254C3" w:rsidP="00CF4C4E">
            <w:pPr>
              <w:rPr>
                <w:sz w:val="20"/>
                <w:szCs w:val="20"/>
                <w:lang w:val="en-GB"/>
              </w:rPr>
            </w:pPr>
          </w:p>
        </w:tc>
        <w:tc>
          <w:tcPr>
            <w:tcW w:w="553" w:type="pct"/>
          </w:tcPr>
          <w:p w:rsidR="001254C3" w:rsidRPr="00CF4C4E" w:rsidRDefault="001254C3" w:rsidP="00CF4C4E">
            <w:pPr>
              <w:rPr>
                <w:sz w:val="20"/>
                <w:szCs w:val="20"/>
                <w:lang w:val="en-GB"/>
              </w:rPr>
            </w:pPr>
            <w:r w:rsidRPr="00CF4C4E">
              <w:rPr>
                <w:sz w:val="20"/>
                <w:szCs w:val="20"/>
                <w:lang w:val="en-GB"/>
              </w:rPr>
              <w:t>Source 2 - OSCE Mission to Serbia</w:t>
            </w:r>
          </w:p>
        </w:tc>
        <w:tc>
          <w:tcPr>
            <w:tcW w:w="407" w:type="pct"/>
          </w:tcPr>
          <w:p w:rsidR="001254C3" w:rsidRPr="00CF4C4E" w:rsidRDefault="001254C3" w:rsidP="00CF4C4E">
            <w:pPr>
              <w:rPr>
                <w:sz w:val="20"/>
                <w:szCs w:val="20"/>
                <w:lang w:val="en-GB"/>
              </w:rPr>
            </w:pPr>
          </w:p>
        </w:tc>
        <w:tc>
          <w:tcPr>
            <w:tcW w:w="702" w:type="pct"/>
          </w:tcPr>
          <w:p w:rsidR="001254C3" w:rsidRPr="00CF4C4E" w:rsidRDefault="001254C3" w:rsidP="00CF4C4E">
            <w:pPr>
              <w:rPr>
                <w:sz w:val="20"/>
                <w:szCs w:val="20"/>
                <w:lang w:val="en-GB"/>
              </w:rPr>
            </w:pPr>
          </w:p>
        </w:tc>
        <w:tc>
          <w:tcPr>
            <w:tcW w:w="591" w:type="pct"/>
          </w:tcPr>
          <w:p w:rsidR="001254C3" w:rsidRPr="00CF4C4E" w:rsidRDefault="001254C3" w:rsidP="00CF4C4E">
            <w:pPr>
              <w:rPr>
                <w:sz w:val="20"/>
                <w:szCs w:val="20"/>
                <w:lang w:val="en-GB"/>
              </w:rPr>
            </w:pPr>
          </w:p>
        </w:tc>
        <w:tc>
          <w:tcPr>
            <w:tcW w:w="656" w:type="pct"/>
          </w:tcPr>
          <w:p w:rsidR="001254C3" w:rsidRPr="00CF4C4E" w:rsidRDefault="001254C3" w:rsidP="00CF4C4E">
            <w:pPr>
              <w:rPr>
                <w:sz w:val="20"/>
                <w:szCs w:val="20"/>
                <w:lang w:val="en-GB"/>
              </w:rPr>
            </w:pPr>
          </w:p>
        </w:tc>
      </w:tr>
      <w:tr w:rsidR="001254C3" w:rsidRPr="00CF4C4E" w:rsidTr="00DB34B7">
        <w:trPr>
          <w:trHeight w:val="140"/>
        </w:trPr>
        <w:tc>
          <w:tcPr>
            <w:tcW w:w="844" w:type="pct"/>
            <w:tcBorders>
              <w:left w:val="double" w:sz="4" w:space="0" w:color="auto"/>
            </w:tcBorders>
          </w:tcPr>
          <w:p w:rsidR="001254C3" w:rsidRPr="00CF4C4E" w:rsidRDefault="001254C3" w:rsidP="00CF4C4E">
            <w:pPr>
              <w:rPr>
                <w:sz w:val="20"/>
                <w:szCs w:val="20"/>
                <w:lang w:val="en-GB"/>
              </w:rPr>
            </w:pPr>
            <w:r w:rsidRPr="00CF4C4E">
              <w:rPr>
                <w:sz w:val="20"/>
                <w:szCs w:val="20"/>
                <w:lang w:val="en-GB"/>
              </w:rPr>
              <w:t>2.1.2. Improve quality of feedback provided to obliged entities concerning their SARs</w:t>
            </w:r>
          </w:p>
        </w:tc>
        <w:tc>
          <w:tcPr>
            <w:tcW w:w="403" w:type="pct"/>
          </w:tcPr>
          <w:p w:rsidR="001254C3" w:rsidRPr="00CF4C4E" w:rsidRDefault="001254C3" w:rsidP="00CF4C4E">
            <w:pPr>
              <w:rPr>
                <w:sz w:val="20"/>
                <w:szCs w:val="20"/>
                <w:lang w:val="en-GB"/>
              </w:rPr>
            </w:pPr>
            <w:r w:rsidRPr="00CF4C4E">
              <w:rPr>
                <w:sz w:val="20"/>
                <w:szCs w:val="20"/>
                <w:lang w:val="en-GB"/>
              </w:rPr>
              <w:t>APML</w:t>
            </w:r>
          </w:p>
        </w:tc>
        <w:tc>
          <w:tcPr>
            <w:tcW w:w="436" w:type="pct"/>
          </w:tcPr>
          <w:p w:rsidR="001254C3" w:rsidRPr="00CF4C4E" w:rsidRDefault="001254C3" w:rsidP="00CF4C4E">
            <w:pPr>
              <w:jc w:val="center"/>
              <w:rPr>
                <w:sz w:val="20"/>
                <w:szCs w:val="20"/>
                <w:lang w:val="en-GB"/>
              </w:rPr>
            </w:pPr>
          </w:p>
        </w:tc>
        <w:tc>
          <w:tcPr>
            <w:tcW w:w="408" w:type="pct"/>
          </w:tcPr>
          <w:p w:rsidR="001254C3" w:rsidRPr="00CF4C4E" w:rsidRDefault="001254C3" w:rsidP="00CF4C4E">
            <w:pPr>
              <w:rPr>
                <w:sz w:val="20"/>
                <w:szCs w:val="20"/>
                <w:lang w:val="en-GB"/>
              </w:rPr>
            </w:pPr>
            <w:r w:rsidRPr="00CF4C4E">
              <w:rPr>
                <w:sz w:val="20"/>
                <w:szCs w:val="20"/>
                <w:lang w:val="en-GB"/>
              </w:rPr>
              <w:t>IV quarter of 2022 (continuous activity)</w:t>
            </w:r>
          </w:p>
        </w:tc>
        <w:tc>
          <w:tcPr>
            <w:tcW w:w="553" w:type="pct"/>
          </w:tcPr>
          <w:p w:rsidR="001254C3" w:rsidRPr="00CF4C4E" w:rsidRDefault="001254C3" w:rsidP="00CF4C4E">
            <w:pPr>
              <w:rPr>
                <w:sz w:val="20"/>
                <w:szCs w:val="20"/>
                <w:lang w:val="en-GB"/>
              </w:rPr>
            </w:pPr>
            <w:r w:rsidRPr="00CF4C4E">
              <w:rPr>
                <w:sz w:val="20"/>
                <w:szCs w:val="20"/>
                <w:lang w:val="en-GB"/>
              </w:rPr>
              <w:t>Financed as part of regular activities of staff</w:t>
            </w:r>
          </w:p>
        </w:tc>
        <w:tc>
          <w:tcPr>
            <w:tcW w:w="407" w:type="pct"/>
          </w:tcPr>
          <w:p w:rsidR="001254C3" w:rsidRPr="00CF4C4E" w:rsidRDefault="001254C3" w:rsidP="00CF4C4E">
            <w:pPr>
              <w:rPr>
                <w:sz w:val="20"/>
                <w:szCs w:val="20"/>
                <w:lang w:val="en-GB"/>
              </w:rPr>
            </w:pPr>
          </w:p>
        </w:tc>
        <w:tc>
          <w:tcPr>
            <w:tcW w:w="702" w:type="pct"/>
          </w:tcPr>
          <w:p w:rsidR="001254C3" w:rsidRPr="00CF4C4E" w:rsidRDefault="001254C3" w:rsidP="00CF4C4E">
            <w:pPr>
              <w:rPr>
                <w:sz w:val="20"/>
                <w:szCs w:val="20"/>
                <w:lang w:val="en-GB"/>
              </w:rPr>
            </w:pPr>
          </w:p>
        </w:tc>
        <w:tc>
          <w:tcPr>
            <w:tcW w:w="591" w:type="pct"/>
          </w:tcPr>
          <w:p w:rsidR="001254C3" w:rsidRPr="00CF4C4E" w:rsidRDefault="001254C3" w:rsidP="00CF4C4E">
            <w:pPr>
              <w:rPr>
                <w:sz w:val="20"/>
                <w:szCs w:val="20"/>
                <w:lang w:val="en-GB"/>
              </w:rPr>
            </w:pPr>
          </w:p>
        </w:tc>
        <w:tc>
          <w:tcPr>
            <w:tcW w:w="656" w:type="pct"/>
          </w:tcPr>
          <w:p w:rsidR="001254C3" w:rsidRPr="00CF4C4E" w:rsidRDefault="001254C3" w:rsidP="00CF4C4E">
            <w:pPr>
              <w:rPr>
                <w:sz w:val="20"/>
                <w:szCs w:val="20"/>
                <w:lang w:val="en-GB"/>
              </w:rPr>
            </w:pPr>
          </w:p>
        </w:tc>
      </w:tr>
      <w:tr w:rsidR="001254C3" w:rsidRPr="00CF4C4E" w:rsidTr="00DB34B7">
        <w:trPr>
          <w:trHeight w:val="140"/>
        </w:trPr>
        <w:tc>
          <w:tcPr>
            <w:tcW w:w="844" w:type="pct"/>
            <w:tcBorders>
              <w:left w:val="double" w:sz="4" w:space="0" w:color="auto"/>
            </w:tcBorders>
            <w:shd w:val="clear" w:color="auto" w:fill="auto"/>
          </w:tcPr>
          <w:p w:rsidR="001254C3" w:rsidRPr="00CF4C4E" w:rsidRDefault="001254C3" w:rsidP="00CF4C4E">
            <w:pPr>
              <w:rPr>
                <w:sz w:val="20"/>
                <w:szCs w:val="20"/>
                <w:lang w:val="en-GB"/>
              </w:rPr>
            </w:pPr>
            <w:r w:rsidRPr="00CF4C4E">
              <w:rPr>
                <w:sz w:val="20"/>
                <w:szCs w:val="20"/>
                <w:lang w:val="en-GB"/>
              </w:rPr>
              <w:t>2.1.3. Introduction of the professional exam for compliance officers in line with the AML/CFT Law</w:t>
            </w:r>
          </w:p>
        </w:tc>
        <w:tc>
          <w:tcPr>
            <w:tcW w:w="403" w:type="pct"/>
          </w:tcPr>
          <w:p w:rsidR="001254C3" w:rsidRPr="00CF4C4E" w:rsidRDefault="001254C3" w:rsidP="00CF4C4E">
            <w:pPr>
              <w:rPr>
                <w:sz w:val="20"/>
                <w:szCs w:val="20"/>
                <w:lang w:val="en-GB"/>
              </w:rPr>
            </w:pPr>
            <w:r w:rsidRPr="00CF4C4E">
              <w:rPr>
                <w:sz w:val="20"/>
                <w:szCs w:val="20"/>
                <w:lang w:val="en-GB"/>
              </w:rPr>
              <w:t>APML</w:t>
            </w:r>
          </w:p>
          <w:p w:rsidR="001254C3" w:rsidRPr="00CF4C4E" w:rsidRDefault="001254C3" w:rsidP="00CF4C4E">
            <w:pPr>
              <w:rPr>
                <w:sz w:val="20"/>
                <w:szCs w:val="20"/>
                <w:lang w:val="en-GB"/>
              </w:rPr>
            </w:pPr>
          </w:p>
        </w:tc>
        <w:tc>
          <w:tcPr>
            <w:tcW w:w="436" w:type="pct"/>
          </w:tcPr>
          <w:p w:rsidR="001254C3" w:rsidRPr="00CF4C4E" w:rsidRDefault="001254C3" w:rsidP="00CF4C4E">
            <w:pPr>
              <w:rPr>
                <w:sz w:val="20"/>
                <w:szCs w:val="20"/>
                <w:lang w:val="en-GB"/>
              </w:rPr>
            </w:pPr>
            <w:r w:rsidRPr="00CF4C4E">
              <w:rPr>
                <w:sz w:val="20"/>
                <w:szCs w:val="20"/>
                <w:lang w:val="en-GB"/>
              </w:rPr>
              <w:t>Supervisory authorities</w:t>
            </w:r>
          </w:p>
        </w:tc>
        <w:tc>
          <w:tcPr>
            <w:tcW w:w="408" w:type="pct"/>
          </w:tcPr>
          <w:p w:rsidR="001254C3" w:rsidRPr="00CF4C4E" w:rsidRDefault="001254C3" w:rsidP="00CF4C4E">
            <w:pPr>
              <w:rPr>
                <w:sz w:val="20"/>
                <w:szCs w:val="20"/>
                <w:lang w:val="en-GB"/>
              </w:rPr>
            </w:pPr>
            <w:r w:rsidRPr="00CF4C4E">
              <w:rPr>
                <w:sz w:val="20"/>
                <w:szCs w:val="20"/>
                <w:lang w:val="en-GB"/>
              </w:rPr>
              <w:t>October 2021</w:t>
            </w:r>
          </w:p>
        </w:tc>
        <w:tc>
          <w:tcPr>
            <w:tcW w:w="553" w:type="pct"/>
          </w:tcPr>
          <w:p w:rsidR="001254C3" w:rsidRPr="00CF4C4E" w:rsidRDefault="001254C3" w:rsidP="00CF4C4E">
            <w:pPr>
              <w:rPr>
                <w:sz w:val="20"/>
                <w:szCs w:val="20"/>
                <w:lang w:val="en-GB"/>
              </w:rPr>
            </w:pPr>
            <w:r w:rsidRPr="00CF4C4E">
              <w:rPr>
                <w:sz w:val="20"/>
                <w:szCs w:val="20"/>
                <w:lang w:val="en-GB"/>
              </w:rPr>
              <w:t>Financed as part of regular activities of staff</w:t>
            </w:r>
          </w:p>
        </w:tc>
        <w:tc>
          <w:tcPr>
            <w:tcW w:w="407" w:type="pct"/>
          </w:tcPr>
          <w:p w:rsidR="001254C3" w:rsidRPr="00CF4C4E" w:rsidRDefault="001254C3" w:rsidP="00CF4C4E">
            <w:pPr>
              <w:rPr>
                <w:sz w:val="20"/>
                <w:szCs w:val="20"/>
                <w:lang w:val="en-GB"/>
              </w:rPr>
            </w:pPr>
          </w:p>
        </w:tc>
        <w:tc>
          <w:tcPr>
            <w:tcW w:w="702" w:type="pct"/>
          </w:tcPr>
          <w:p w:rsidR="001254C3" w:rsidRPr="00CF4C4E" w:rsidRDefault="001254C3" w:rsidP="00CF4C4E">
            <w:pPr>
              <w:rPr>
                <w:sz w:val="20"/>
                <w:szCs w:val="20"/>
                <w:lang w:val="en-GB"/>
              </w:rPr>
            </w:pPr>
          </w:p>
        </w:tc>
        <w:tc>
          <w:tcPr>
            <w:tcW w:w="591" w:type="pct"/>
          </w:tcPr>
          <w:p w:rsidR="001254C3" w:rsidRPr="00CF4C4E" w:rsidRDefault="001254C3" w:rsidP="00CF4C4E">
            <w:pPr>
              <w:rPr>
                <w:sz w:val="20"/>
                <w:szCs w:val="20"/>
                <w:lang w:val="en-GB"/>
              </w:rPr>
            </w:pPr>
          </w:p>
        </w:tc>
        <w:tc>
          <w:tcPr>
            <w:tcW w:w="656" w:type="pct"/>
          </w:tcPr>
          <w:p w:rsidR="001254C3" w:rsidRPr="00CF4C4E" w:rsidRDefault="001254C3" w:rsidP="00CF4C4E">
            <w:pPr>
              <w:rPr>
                <w:sz w:val="20"/>
                <w:szCs w:val="20"/>
                <w:lang w:val="en-GB"/>
              </w:rPr>
            </w:pPr>
          </w:p>
        </w:tc>
      </w:tr>
      <w:tr w:rsidR="001254C3" w:rsidRPr="00CF4C4E" w:rsidTr="00CF4C4E">
        <w:trPr>
          <w:trHeight w:val="2258"/>
        </w:trPr>
        <w:tc>
          <w:tcPr>
            <w:tcW w:w="844" w:type="pct"/>
            <w:tcBorders>
              <w:left w:val="double" w:sz="4" w:space="0" w:color="auto"/>
            </w:tcBorders>
          </w:tcPr>
          <w:p w:rsidR="001254C3" w:rsidRPr="00CF4C4E" w:rsidRDefault="001254C3" w:rsidP="00CF4C4E">
            <w:pPr>
              <w:rPr>
                <w:sz w:val="20"/>
                <w:szCs w:val="20"/>
                <w:lang w:val="en-GB"/>
              </w:rPr>
            </w:pPr>
            <w:r w:rsidRPr="00CF4C4E">
              <w:rPr>
                <w:sz w:val="20"/>
                <w:szCs w:val="20"/>
                <w:lang w:val="en-GB"/>
              </w:rPr>
              <w:t>2.1.4. Develop a list of indicators for identifying persons and transactions with respect to which there are reasons for suspicion of money laundering or terrorism financing on the internet and cybercrime offences in the area provision of financial services, under the remit of responsibility of the NBS</w:t>
            </w:r>
          </w:p>
        </w:tc>
        <w:tc>
          <w:tcPr>
            <w:tcW w:w="403" w:type="pct"/>
          </w:tcPr>
          <w:p w:rsidR="001254C3" w:rsidRPr="00CF4C4E" w:rsidRDefault="001254C3" w:rsidP="00CF4C4E">
            <w:pPr>
              <w:rPr>
                <w:sz w:val="20"/>
                <w:szCs w:val="20"/>
                <w:lang w:val="en-GB"/>
              </w:rPr>
            </w:pPr>
            <w:r w:rsidRPr="00CF4C4E">
              <w:rPr>
                <w:sz w:val="20"/>
                <w:szCs w:val="20"/>
                <w:lang w:val="en-GB"/>
              </w:rPr>
              <w:t>National Bank of Serbia</w:t>
            </w: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tc>
        <w:tc>
          <w:tcPr>
            <w:tcW w:w="436" w:type="pct"/>
          </w:tcPr>
          <w:p w:rsidR="001254C3" w:rsidRPr="00CF4C4E" w:rsidRDefault="001254C3" w:rsidP="00CF4C4E">
            <w:pPr>
              <w:rPr>
                <w:sz w:val="20"/>
                <w:szCs w:val="20"/>
                <w:lang w:val="en-GB"/>
              </w:rPr>
            </w:pPr>
            <w:r w:rsidRPr="00CF4C4E">
              <w:rPr>
                <w:sz w:val="20"/>
                <w:szCs w:val="20"/>
                <w:lang w:val="en-GB"/>
              </w:rPr>
              <w:t>APML</w:t>
            </w: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tc>
        <w:tc>
          <w:tcPr>
            <w:tcW w:w="408" w:type="pct"/>
          </w:tcPr>
          <w:p w:rsidR="001254C3" w:rsidRPr="00CF4C4E" w:rsidRDefault="001254C3" w:rsidP="00CF4C4E">
            <w:pPr>
              <w:rPr>
                <w:sz w:val="20"/>
                <w:szCs w:val="20"/>
                <w:lang w:val="en-GB"/>
              </w:rPr>
            </w:pPr>
            <w:r w:rsidRPr="00CF4C4E">
              <w:rPr>
                <w:sz w:val="20"/>
                <w:szCs w:val="20"/>
                <w:lang w:val="en-GB"/>
              </w:rPr>
              <w:t>October 2020</w:t>
            </w: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tc>
        <w:tc>
          <w:tcPr>
            <w:tcW w:w="553" w:type="pct"/>
          </w:tcPr>
          <w:p w:rsidR="001254C3" w:rsidRPr="00CF4C4E" w:rsidRDefault="001254C3" w:rsidP="00CF4C4E">
            <w:pPr>
              <w:rPr>
                <w:sz w:val="20"/>
                <w:szCs w:val="20"/>
                <w:lang w:val="en-GB"/>
              </w:rPr>
            </w:pPr>
            <w:r w:rsidRPr="00CF4C4E">
              <w:rPr>
                <w:sz w:val="20"/>
                <w:szCs w:val="20"/>
                <w:lang w:val="en-GB"/>
              </w:rPr>
              <w:t>Financed as part of regular activities of staff</w:t>
            </w: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p w:rsidR="001254C3" w:rsidRPr="00CF4C4E" w:rsidRDefault="001254C3" w:rsidP="00CF4C4E">
            <w:pPr>
              <w:rPr>
                <w:sz w:val="20"/>
                <w:szCs w:val="20"/>
                <w:lang w:val="en-GB"/>
              </w:rPr>
            </w:pPr>
          </w:p>
        </w:tc>
        <w:tc>
          <w:tcPr>
            <w:tcW w:w="407" w:type="pct"/>
          </w:tcPr>
          <w:p w:rsidR="001254C3" w:rsidRPr="00CF4C4E" w:rsidRDefault="001254C3" w:rsidP="00CF4C4E">
            <w:pPr>
              <w:rPr>
                <w:sz w:val="20"/>
                <w:szCs w:val="20"/>
                <w:lang w:val="en-GB"/>
              </w:rPr>
            </w:pPr>
          </w:p>
        </w:tc>
        <w:tc>
          <w:tcPr>
            <w:tcW w:w="702" w:type="pct"/>
          </w:tcPr>
          <w:p w:rsidR="001254C3" w:rsidRPr="00CF4C4E" w:rsidRDefault="001254C3" w:rsidP="00CF4C4E">
            <w:pPr>
              <w:rPr>
                <w:sz w:val="20"/>
                <w:szCs w:val="20"/>
                <w:lang w:val="en-GB"/>
              </w:rPr>
            </w:pPr>
          </w:p>
        </w:tc>
        <w:tc>
          <w:tcPr>
            <w:tcW w:w="591" w:type="pct"/>
          </w:tcPr>
          <w:p w:rsidR="001254C3" w:rsidRPr="00CF4C4E" w:rsidRDefault="001254C3" w:rsidP="00CF4C4E">
            <w:pPr>
              <w:rPr>
                <w:sz w:val="20"/>
                <w:szCs w:val="20"/>
                <w:lang w:val="en-GB"/>
              </w:rPr>
            </w:pPr>
          </w:p>
        </w:tc>
        <w:tc>
          <w:tcPr>
            <w:tcW w:w="656" w:type="pct"/>
          </w:tcPr>
          <w:p w:rsidR="001254C3" w:rsidRPr="00CF4C4E" w:rsidRDefault="001254C3" w:rsidP="00CF4C4E">
            <w:pPr>
              <w:rPr>
                <w:sz w:val="20"/>
                <w:szCs w:val="20"/>
                <w:lang w:val="en-GB"/>
              </w:rPr>
            </w:pPr>
          </w:p>
        </w:tc>
      </w:tr>
      <w:tr w:rsidR="001254C3" w:rsidRPr="00CF4C4E" w:rsidTr="00DB34B7">
        <w:trPr>
          <w:trHeight w:val="140"/>
        </w:trPr>
        <w:tc>
          <w:tcPr>
            <w:tcW w:w="844" w:type="pct"/>
            <w:tcBorders>
              <w:left w:val="double" w:sz="4" w:space="0" w:color="auto"/>
            </w:tcBorders>
          </w:tcPr>
          <w:p w:rsidR="001254C3" w:rsidRPr="00CF4C4E" w:rsidRDefault="001254C3" w:rsidP="00CF4C4E">
            <w:pPr>
              <w:rPr>
                <w:sz w:val="20"/>
                <w:szCs w:val="20"/>
                <w:lang w:val="en-GB"/>
              </w:rPr>
            </w:pPr>
            <w:r w:rsidRPr="00CF4C4E">
              <w:rPr>
                <w:sz w:val="20"/>
                <w:szCs w:val="20"/>
                <w:lang w:val="en-GB"/>
              </w:rPr>
              <w:t xml:space="preserve">2.1.5. Develop a list of indicators for identifying </w:t>
            </w:r>
            <w:r w:rsidRPr="00CF4C4E">
              <w:rPr>
                <w:sz w:val="20"/>
                <w:szCs w:val="20"/>
                <w:lang w:val="en-GB"/>
              </w:rPr>
              <w:lastRenderedPageBreak/>
              <w:t>persons and transactions with respect to which there are reasons for suspicion of money laundering or terrorism financing on the internet and cybercrime offences in the area provision of financial services, under the remit of responsibility of the Securities Commission</w:t>
            </w:r>
          </w:p>
        </w:tc>
        <w:tc>
          <w:tcPr>
            <w:tcW w:w="403" w:type="pct"/>
          </w:tcPr>
          <w:p w:rsidR="001254C3" w:rsidRPr="00CF4C4E" w:rsidRDefault="00A9340A" w:rsidP="00CF4C4E">
            <w:pPr>
              <w:rPr>
                <w:sz w:val="20"/>
                <w:szCs w:val="20"/>
                <w:lang w:val="en-GB"/>
              </w:rPr>
            </w:pPr>
            <w:r w:rsidRPr="00CF4C4E">
              <w:rPr>
                <w:sz w:val="20"/>
                <w:szCs w:val="20"/>
                <w:lang w:val="en-GB"/>
              </w:rPr>
              <w:lastRenderedPageBreak/>
              <w:t>SC</w:t>
            </w:r>
          </w:p>
          <w:p w:rsidR="001254C3" w:rsidRPr="00CF4C4E" w:rsidRDefault="001254C3" w:rsidP="00CF4C4E">
            <w:pPr>
              <w:rPr>
                <w:sz w:val="20"/>
                <w:szCs w:val="20"/>
                <w:lang w:val="en-GB"/>
              </w:rPr>
            </w:pPr>
          </w:p>
        </w:tc>
        <w:tc>
          <w:tcPr>
            <w:tcW w:w="436" w:type="pct"/>
          </w:tcPr>
          <w:p w:rsidR="001254C3" w:rsidRPr="00CF4C4E" w:rsidRDefault="001254C3" w:rsidP="00CF4C4E">
            <w:pPr>
              <w:rPr>
                <w:sz w:val="20"/>
                <w:szCs w:val="20"/>
                <w:lang w:val="en-GB"/>
              </w:rPr>
            </w:pPr>
            <w:r w:rsidRPr="00CF4C4E">
              <w:rPr>
                <w:sz w:val="20"/>
                <w:szCs w:val="20"/>
                <w:lang w:val="en-GB"/>
              </w:rPr>
              <w:t>APML</w:t>
            </w:r>
          </w:p>
        </w:tc>
        <w:tc>
          <w:tcPr>
            <w:tcW w:w="408" w:type="pct"/>
          </w:tcPr>
          <w:p w:rsidR="001254C3" w:rsidRPr="00CF4C4E" w:rsidRDefault="001254C3" w:rsidP="00CF4C4E">
            <w:pPr>
              <w:rPr>
                <w:sz w:val="20"/>
                <w:szCs w:val="20"/>
                <w:lang w:val="en-GB"/>
              </w:rPr>
            </w:pPr>
            <w:r w:rsidRPr="00CF4C4E">
              <w:rPr>
                <w:sz w:val="20"/>
                <w:szCs w:val="20"/>
                <w:lang w:val="en-GB"/>
              </w:rPr>
              <w:t>IV quarter of 2021</w:t>
            </w:r>
          </w:p>
        </w:tc>
        <w:tc>
          <w:tcPr>
            <w:tcW w:w="553" w:type="pct"/>
          </w:tcPr>
          <w:p w:rsidR="001254C3" w:rsidRPr="00CF4C4E" w:rsidRDefault="001254C3" w:rsidP="00CF4C4E">
            <w:pPr>
              <w:rPr>
                <w:sz w:val="20"/>
                <w:szCs w:val="20"/>
                <w:lang w:val="en-GB"/>
              </w:rPr>
            </w:pPr>
            <w:r w:rsidRPr="00CF4C4E">
              <w:rPr>
                <w:sz w:val="20"/>
                <w:szCs w:val="20"/>
                <w:lang w:val="en-GB"/>
              </w:rPr>
              <w:t xml:space="preserve">Financed as part of regular </w:t>
            </w:r>
            <w:r w:rsidRPr="00CF4C4E">
              <w:rPr>
                <w:sz w:val="20"/>
                <w:szCs w:val="20"/>
                <w:lang w:val="en-GB"/>
              </w:rPr>
              <w:lastRenderedPageBreak/>
              <w:t>activities of staff</w:t>
            </w:r>
          </w:p>
        </w:tc>
        <w:tc>
          <w:tcPr>
            <w:tcW w:w="407" w:type="pct"/>
          </w:tcPr>
          <w:p w:rsidR="001254C3" w:rsidRPr="00CF4C4E" w:rsidRDefault="001254C3" w:rsidP="00CF4C4E">
            <w:pPr>
              <w:rPr>
                <w:sz w:val="20"/>
                <w:szCs w:val="20"/>
                <w:lang w:val="en-GB"/>
              </w:rPr>
            </w:pPr>
          </w:p>
        </w:tc>
        <w:tc>
          <w:tcPr>
            <w:tcW w:w="702" w:type="pct"/>
          </w:tcPr>
          <w:p w:rsidR="001254C3" w:rsidRPr="00CF4C4E" w:rsidRDefault="001254C3" w:rsidP="00CF4C4E">
            <w:pPr>
              <w:rPr>
                <w:sz w:val="20"/>
                <w:szCs w:val="20"/>
                <w:lang w:val="en-GB"/>
              </w:rPr>
            </w:pPr>
          </w:p>
        </w:tc>
        <w:tc>
          <w:tcPr>
            <w:tcW w:w="591" w:type="pct"/>
          </w:tcPr>
          <w:p w:rsidR="001254C3" w:rsidRPr="00CF4C4E" w:rsidRDefault="001254C3" w:rsidP="00CF4C4E">
            <w:pPr>
              <w:rPr>
                <w:sz w:val="20"/>
                <w:szCs w:val="20"/>
                <w:lang w:val="en-GB"/>
              </w:rPr>
            </w:pPr>
          </w:p>
        </w:tc>
        <w:tc>
          <w:tcPr>
            <w:tcW w:w="656" w:type="pct"/>
          </w:tcPr>
          <w:p w:rsidR="001254C3" w:rsidRPr="00CF4C4E" w:rsidRDefault="001254C3" w:rsidP="00CF4C4E">
            <w:pPr>
              <w:rPr>
                <w:sz w:val="20"/>
                <w:szCs w:val="20"/>
                <w:lang w:val="en-GB"/>
              </w:rPr>
            </w:pPr>
          </w:p>
        </w:tc>
      </w:tr>
      <w:tr w:rsidR="001254C3" w:rsidRPr="00CF4C4E" w:rsidTr="00DB34B7">
        <w:trPr>
          <w:trHeight w:val="140"/>
        </w:trPr>
        <w:tc>
          <w:tcPr>
            <w:tcW w:w="844" w:type="pct"/>
            <w:tcBorders>
              <w:left w:val="double" w:sz="4" w:space="0" w:color="auto"/>
            </w:tcBorders>
          </w:tcPr>
          <w:p w:rsidR="001254C3" w:rsidRPr="00CF4C4E" w:rsidRDefault="001254C3" w:rsidP="00CF4C4E">
            <w:pPr>
              <w:rPr>
                <w:sz w:val="20"/>
                <w:szCs w:val="20"/>
                <w:lang w:val="en-GB"/>
              </w:rPr>
            </w:pPr>
            <w:r w:rsidRPr="00CF4C4E">
              <w:rPr>
                <w:sz w:val="20"/>
                <w:szCs w:val="20"/>
                <w:lang w:val="en-GB"/>
              </w:rPr>
              <w:lastRenderedPageBreak/>
              <w:t>2.1.6 Improvement of quality of suspicious activity reporting inline with risk analysis</w:t>
            </w:r>
          </w:p>
        </w:tc>
        <w:tc>
          <w:tcPr>
            <w:tcW w:w="403" w:type="pct"/>
          </w:tcPr>
          <w:p w:rsidR="001254C3" w:rsidRPr="00CF4C4E" w:rsidRDefault="001254C3" w:rsidP="00CF4C4E">
            <w:pPr>
              <w:rPr>
                <w:sz w:val="20"/>
                <w:szCs w:val="20"/>
                <w:lang w:val="en-GB"/>
              </w:rPr>
            </w:pPr>
            <w:r w:rsidRPr="00CF4C4E">
              <w:rPr>
                <w:sz w:val="20"/>
                <w:szCs w:val="20"/>
                <w:lang w:val="en-GB"/>
              </w:rPr>
              <w:t>APML</w:t>
            </w:r>
          </w:p>
        </w:tc>
        <w:tc>
          <w:tcPr>
            <w:tcW w:w="436" w:type="pct"/>
          </w:tcPr>
          <w:p w:rsidR="001254C3" w:rsidRPr="00CF4C4E" w:rsidRDefault="001254C3" w:rsidP="00CF4C4E">
            <w:pPr>
              <w:rPr>
                <w:sz w:val="20"/>
                <w:szCs w:val="20"/>
                <w:lang w:val="en-GB"/>
              </w:rPr>
            </w:pPr>
            <w:r w:rsidRPr="00CF4C4E">
              <w:rPr>
                <w:sz w:val="20"/>
                <w:szCs w:val="20"/>
                <w:lang w:val="en-GB"/>
              </w:rPr>
              <w:t>Supervisory authorities, law enforcement agencies, obliged entities, other institutions</w:t>
            </w:r>
          </w:p>
        </w:tc>
        <w:tc>
          <w:tcPr>
            <w:tcW w:w="408" w:type="pct"/>
          </w:tcPr>
          <w:p w:rsidR="001254C3" w:rsidRPr="00CF4C4E" w:rsidRDefault="001254C3" w:rsidP="00CF4C4E">
            <w:pPr>
              <w:rPr>
                <w:sz w:val="20"/>
                <w:szCs w:val="20"/>
                <w:lang w:val="en-GB"/>
              </w:rPr>
            </w:pPr>
            <w:r w:rsidRPr="00CF4C4E">
              <w:rPr>
                <w:sz w:val="20"/>
                <w:szCs w:val="20"/>
                <w:lang w:val="en-GB"/>
              </w:rPr>
              <w:t>IV quarter of 2022 (continuous activity)</w:t>
            </w:r>
          </w:p>
          <w:p w:rsidR="001254C3" w:rsidRPr="00CF4C4E" w:rsidRDefault="001254C3" w:rsidP="00CF4C4E">
            <w:pPr>
              <w:rPr>
                <w:sz w:val="20"/>
                <w:szCs w:val="20"/>
                <w:lang w:val="en-GB"/>
              </w:rPr>
            </w:pPr>
          </w:p>
        </w:tc>
        <w:tc>
          <w:tcPr>
            <w:tcW w:w="553" w:type="pct"/>
          </w:tcPr>
          <w:p w:rsidR="001254C3" w:rsidRPr="00CF4C4E" w:rsidRDefault="001254C3" w:rsidP="00CF4C4E">
            <w:pPr>
              <w:rPr>
                <w:sz w:val="20"/>
                <w:szCs w:val="20"/>
                <w:lang w:val="en-GB"/>
              </w:rPr>
            </w:pPr>
            <w:r w:rsidRPr="00CF4C4E">
              <w:rPr>
                <w:sz w:val="20"/>
                <w:szCs w:val="20"/>
                <w:lang w:val="en-GB"/>
              </w:rPr>
              <w:t xml:space="preserve">Financed as part of regular activities of staff </w:t>
            </w:r>
          </w:p>
          <w:p w:rsidR="001254C3" w:rsidRPr="00CF4C4E" w:rsidRDefault="001254C3" w:rsidP="00CF4C4E">
            <w:pPr>
              <w:rPr>
                <w:sz w:val="20"/>
                <w:szCs w:val="20"/>
                <w:lang w:val="en-GB"/>
              </w:rPr>
            </w:pPr>
            <w:r w:rsidRPr="00CF4C4E">
              <w:rPr>
                <w:sz w:val="20"/>
                <w:szCs w:val="20"/>
                <w:lang w:val="en-GB"/>
              </w:rPr>
              <w:t>International donor funds (EU Support to Prevention of Money Laundering in Serbia Project)</w:t>
            </w:r>
          </w:p>
        </w:tc>
        <w:tc>
          <w:tcPr>
            <w:tcW w:w="407" w:type="pct"/>
          </w:tcPr>
          <w:p w:rsidR="001254C3" w:rsidRPr="00CF4C4E" w:rsidRDefault="001254C3" w:rsidP="00CF4C4E">
            <w:pPr>
              <w:rPr>
                <w:sz w:val="20"/>
                <w:szCs w:val="20"/>
                <w:lang w:val="en-GB"/>
              </w:rPr>
            </w:pPr>
          </w:p>
        </w:tc>
        <w:tc>
          <w:tcPr>
            <w:tcW w:w="702" w:type="pct"/>
          </w:tcPr>
          <w:p w:rsidR="001254C3" w:rsidRPr="00CF4C4E" w:rsidRDefault="001254C3" w:rsidP="00CF4C4E">
            <w:pPr>
              <w:rPr>
                <w:sz w:val="20"/>
                <w:szCs w:val="20"/>
                <w:lang w:val="en-GB"/>
              </w:rPr>
            </w:pPr>
          </w:p>
        </w:tc>
        <w:tc>
          <w:tcPr>
            <w:tcW w:w="591" w:type="pct"/>
          </w:tcPr>
          <w:p w:rsidR="001254C3" w:rsidRPr="00CF4C4E" w:rsidRDefault="001254C3" w:rsidP="00CF4C4E">
            <w:pPr>
              <w:rPr>
                <w:sz w:val="20"/>
                <w:szCs w:val="20"/>
                <w:lang w:val="en-GB"/>
              </w:rPr>
            </w:pPr>
          </w:p>
        </w:tc>
        <w:tc>
          <w:tcPr>
            <w:tcW w:w="656" w:type="pct"/>
          </w:tcPr>
          <w:p w:rsidR="001254C3" w:rsidRPr="00CF4C4E" w:rsidRDefault="001254C3" w:rsidP="00CF4C4E">
            <w:pPr>
              <w:rPr>
                <w:sz w:val="20"/>
                <w:szCs w:val="20"/>
                <w:lang w:val="en-GB"/>
              </w:rPr>
            </w:pPr>
          </w:p>
        </w:tc>
      </w:tr>
    </w:tbl>
    <w:p w:rsidR="00F43ECD" w:rsidRPr="00CF4C4E" w:rsidRDefault="00F43ECD" w:rsidP="00CF4C4E">
      <w:pPr>
        <w:rPr>
          <w:sz w:val="20"/>
          <w:szCs w:val="20"/>
          <w:lang w:val="en-GB"/>
        </w:rPr>
      </w:pPr>
    </w:p>
    <w:tbl>
      <w:tblPr>
        <w:tblStyle w:val="TableGrid"/>
        <w:tblW w:w="14132" w:type="dxa"/>
        <w:tblInd w:w="10" w:type="dxa"/>
        <w:tblLayout w:type="fixed"/>
        <w:tblLook w:val="04A0"/>
      </w:tblPr>
      <w:tblGrid>
        <w:gridCol w:w="3219"/>
        <w:gridCol w:w="1274"/>
        <w:gridCol w:w="2126"/>
        <w:gridCol w:w="436"/>
        <w:gridCol w:w="784"/>
        <w:gridCol w:w="2040"/>
        <w:gridCol w:w="1559"/>
        <w:gridCol w:w="1276"/>
        <w:gridCol w:w="1418"/>
      </w:tblGrid>
      <w:tr w:rsidR="00F43ECD" w:rsidRPr="00CF4C4E" w:rsidTr="00DF0DDF">
        <w:trPr>
          <w:trHeight w:val="168"/>
        </w:trPr>
        <w:tc>
          <w:tcPr>
            <w:tcW w:w="14132" w:type="dxa"/>
            <w:gridSpan w:val="9"/>
            <w:tcBorders>
              <w:top w:val="double" w:sz="4" w:space="0" w:color="auto"/>
              <w:left w:val="double" w:sz="4" w:space="0" w:color="auto"/>
              <w:right w:val="double" w:sz="4" w:space="0" w:color="auto"/>
            </w:tcBorders>
            <w:shd w:val="clear" w:color="auto" w:fill="E5B8B7" w:themeFill="accent2" w:themeFillTint="66"/>
          </w:tcPr>
          <w:p w:rsidR="00F43ECD" w:rsidRPr="00CF4C4E" w:rsidRDefault="00EB2DE7" w:rsidP="00CF4C4E">
            <w:pPr>
              <w:pStyle w:val="Heading3"/>
              <w:spacing w:before="0"/>
              <w:rPr>
                <w:rFonts w:cs="Times New Roman"/>
                <w:szCs w:val="20"/>
                <w:lang w:val="en-GB"/>
              </w:rPr>
            </w:pPr>
            <w:bookmarkStart w:id="8" w:name="_Toc32409912"/>
            <w:r w:rsidRPr="00CF4C4E">
              <w:rPr>
                <w:rFonts w:cs="Times New Roman"/>
                <w:szCs w:val="20"/>
                <w:lang w:val="en-GB"/>
              </w:rPr>
              <w:t>Measure 2.2:</w:t>
            </w:r>
            <w:r w:rsidRPr="00CF4C4E">
              <w:rPr>
                <w:rFonts w:cs="Times New Roman"/>
                <w:b w:val="0"/>
                <w:bCs w:val="0"/>
                <w:szCs w:val="20"/>
                <w:lang w:val="en-GB"/>
              </w:rPr>
              <w:t xml:space="preserve"> </w:t>
            </w:r>
            <w:r w:rsidRPr="00CF4C4E">
              <w:rPr>
                <w:rFonts w:cs="Times New Roman"/>
                <w:szCs w:val="20"/>
                <w:lang w:val="en-GB"/>
              </w:rPr>
              <w:t>Prevention of abuse of the financial and non-financial sectors for money laundering, terrorist financing and proliferation of WMD through application of CDD by obliged entities</w:t>
            </w:r>
            <w:bookmarkEnd w:id="8"/>
          </w:p>
        </w:tc>
      </w:tr>
      <w:tr w:rsidR="00F43ECD" w:rsidRPr="00CF4C4E" w:rsidTr="00DF0DDF">
        <w:trPr>
          <w:trHeight w:val="298"/>
        </w:trPr>
        <w:tc>
          <w:tcPr>
            <w:tcW w:w="14132" w:type="dxa"/>
            <w:gridSpan w:val="9"/>
            <w:tcBorders>
              <w:top w:val="double" w:sz="4" w:space="0" w:color="auto"/>
              <w:left w:val="double" w:sz="4" w:space="0" w:color="auto"/>
              <w:bottom w:val="double" w:sz="4" w:space="0" w:color="auto"/>
              <w:right w:val="double" w:sz="4" w:space="0" w:color="auto"/>
            </w:tcBorders>
            <w:shd w:val="clear" w:color="auto" w:fill="E5B8B7" w:themeFill="accent2" w:themeFillTint="66"/>
          </w:tcPr>
          <w:p w:rsidR="00F43ECD" w:rsidRPr="00CF4C4E" w:rsidRDefault="00F43ECD" w:rsidP="00CF4C4E">
            <w:pPr>
              <w:rPr>
                <w:sz w:val="20"/>
                <w:szCs w:val="20"/>
                <w:lang w:val="en-GB"/>
              </w:rPr>
            </w:pPr>
            <w:r w:rsidRPr="00CF4C4E">
              <w:rPr>
                <w:sz w:val="20"/>
                <w:szCs w:val="20"/>
                <w:lang w:val="en-GB"/>
              </w:rPr>
              <w:t>Authority responsible for implementation (coordination of implementation) of the measure: Coordination Body for the Prevention of Money Laundering and the Financing of Terrorism (AML/CFT CB)</w:t>
            </w:r>
          </w:p>
        </w:tc>
      </w:tr>
      <w:tr w:rsidR="00F43ECD" w:rsidRPr="00CF4C4E" w:rsidTr="00DF0DDF">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E5B8B7" w:themeFill="accent2" w:themeFillTint="66"/>
          </w:tcPr>
          <w:p w:rsidR="00F43ECD" w:rsidRPr="00CF4C4E" w:rsidRDefault="00F43ECD" w:rsidP="00CF4C4E">
            <w:pPr>
              <w:rPr>
                <w:sz w:val="20"/>
                <w:szCs w:val="20"/>
                <w:lang w:val="en-GB"/>
              </w:rPr>
            </w:pPr>
            <w:r w:rsidRPr="00CF4C4E">
              <w:rPr>
                <w:sz w:val="20"/>
                <w:szCs w:val="20"/>
                <w:lang w:val="en-GB"/>
              </w:rPr>
              <w:t>Implementation period: 2020-2022</w:t>
            </w:r>
          </w:p>
        </w:tc>
        <w:tc>
          <w:tcPr>
            <w:tcW w:w="7077" w:type="dxa"/>
            <w:gridSpan w:val="5"/>
            <w:tcBorders>
              <w:top w:val="double" w:sz="4" w:space="0" w:color="auto"/>
              <w:left w:val="double" w:sz="4" w:space="0" w:color="auto"/>
              <w:bottom w:val="double" w:sz="4" w:space="0" w:color="auto"/>
              <w:right w:val="double" w:sz="4" w:space="0" w:color="auto"/>
            </w:tcBorders>
            <w:shd w:val="clear" w:color="auto" w:fill="E5B8B7" w:themeFill="accent2" w:themeFillTint="66"/>
          </w:tcPr>
          <w:p w:rsidR="00F43ECD" w:rsidRPr="00CF4C4E" w:rsidRDefault="00F43ECD" w:rsidP="00CF4C4E">
            <w:pPr>
              <w:rPr>
                <w:sz w:val="20"/>
                <w:szCs w:val="20"/>
                <w:lang w:val="en-GB"/>
              </w:rPr>
            </w:pPr>
            <w:r w:rsidRPr="00CF4C4E">
              <w:rPr>
                <w:sz w:val="20"/>
                <w:szCs w:val="20"/>
                <w:lang w:val="en-GB"/>
              </w:rPr>
              <w:t>Type of measure: Institutional/managerial/organisational</w:t>
            </w:r>
          </w:p>
        </w:tc>
      </w:tr>
      <w:tr w:rsidR="00DF0DDF" w:rsidRPr="00CF4C4E" w:rsidTr="00675F8D">
        <w:trPr>
          <w:trHeight w:val="950"/>
        </w:trPr>
        <w:tc>
          <w:tcPr>
            <w:tcW w:w="3219"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Indicator(s) at the level of measure (result indicator):</w:t>
            </w:r>
          </w:p>
        </w:tc>
        <w:tc>
          <w:tcPr>
            <w:tcW w:w="1274"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Unit of measurement</w:t>
            </w:r>
          </w:p>
          <w:p w:rsidR="00DF0DDF" w:rsidRPr="00CF4C4E" w:rsidRDefault="00DF0DDF" w:rsidP="00CF4C4E">
            <w:pPr>
              <w:rPr>
                <w:sz w:val="20"/>
                <w:szCs w:val="20"/>
                <w:lang w:val="en-GB"/>
              </w:rPr>
            </w:pPr>
          </w:p>
        </w:tc>
        <w:tc>
          <w:tcPr>
            <w:tcW w:w="2126"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Source of verification</w:t>
            </w:r>
          </w:p>
        </w:tc>
        <w:tc>
          <w:tcPr>
            <w:tcW w:w="1220" w:type="dxa"/>
            <w:gridSpan w:val="2"/>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 xml:space="preserve">Base value </w:t>
            </w:r>
          </w:p>
        </w:tc>
        <w:tc>
          <w:tcPr>
            <w:tcW w:w="2040"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Base year</w:t>
            </w:r>
          </w:p>
        </w:tc>
        <w:tc>
          <w:tcPr>
            <w:tcW w:w="1559"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Target value in 2020</w:t>
            </w:r>
          </w:p>
        </w:tc>
        <w:tc>
          <w:tcPr>
            <w:tcW w:w="1276" w:type="dxa"/>
            <w:tcBorders>
              <w:top w:val="double" w:sz="4" w:space="0" w:color="auto"/>
              <w:right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Target value in 2021</w:t>
            </w:r>
          </w:p>
        </w:tc>
        <w:tc>
          <w:tcPr>
            <w:tcW w:w="1418" w:type="dxa"/>
            <w:tcBorders>
              <w:top w:val="double" w:sz="4" w:space="0" w:color="auto"/>
              <w:right w:val="double" w:sz="4" w:space="0" w:color="auto"/>
            </w:tcBorders>
            <w:shd w:val="clear" w:color="auto" w:fill="D9D9D9" w:themeFill="background1" w:themeFillShade="D9"/>
          </w:tcPr>
          <w:p w:rsidR="00DF0DDF" w:rsidRPr="00CF4C4E" w:rsidRDefault="00885F9C" w:rsidP="00CF4C4E">
            <w:pPr>
              <w:rPr>
                <w:sz w:val="20"/>
                <w:szCs w:val="20"/>
                <w:lang w:val="en-GB"/>
              </w:rPr>
            </w:pPr>
            <w:r w:rsidRPr="00CF4C4E">
              <w:rPr>
                <w:sz w:val="20"/>
                <w:szCs w:val="20"/>
                <w:lang w:val="en-GB"/>
              </w:rPr>
              <w:t>Target value in 2022</w:t>
            </w:r>
          </w:p>
        </w:tc>
      </w:tr>
      <w:tr w:rsidR="00EE56CF" w:rsidRPr="00CF4C4E" w:rsidTr="00675F8D">
        <w:trPr>
          <w:trHeight w:val="302"/>
        </w:trPr>
        <w:tc>
          <w:tcPr>
            <w:tcW w:w="3219" w:type="dxa"/>
            <w:tcBorders>
              <w:top w:val="double" w:sz="4" w:space="0" w:color="auto"/>
              <w:bottom w:val="double" w:sz="4" w:space="0" w:color="auto"/>
            </w:tcBorders>
            <w:shd w:val="clear" w:color="auto" w:fill="FFFFFF" w:themeFill="background1"/>
          </w:tcPr>
          <w:p w:rsidR="00EE56CF" w:rsidRPr="00CF4C4E" w:rsidRDefault="005C5D8A" w:rsidP="00CF4C4E">
            <w:pPr>
              <w:shd w:val="clear" w:color="auto" w:fill="FFFFFF" w:themeFill="background1"/>
              <w:rPr>
                <w:sz w:val="20"/>
                <w:szCs w:val="20"/>
                <w:lang w:val="en-GB"/>
              </w:rPr>
            </w:pPr>
            <w:r w:rsidRPr="00CF4C4E">
              <w:rPr>
                <w:sz w:val="20"/>
                <w:szCs w:val="20"/>
                <w:lang w:val="en-GB"/>
              </w:rPr>
              <w:t xml:space="preserve">Improved system of registration of beneficial owners </w:t>
            </w:r>
          </w:p>
        </w:tc>
        <w:tc>
          <w:tcPr>
            <w:tcW w:w="1274" w:type="dxa"/>
            <w:tcBorders>
              <w:top w:val="double" w:sz="4" w:space="0" w:color="auto"/>
              <w:bottom w:val="double" w:sz="4" w:space="0" w:color="auto"/>
            </w:tcBorders>
            <w:shd w:val="clear" w:color="auto" w:fill="FFFFFF" w:themeFill="background1"/>
          </w:tcPr>
          <w:p w:rsidR="00EE56CF" w:rsidRPr="00CF4C4E" w:rsidRDefault="005C5D8A" w:rsidP="00CF4C4E">
            <w:pPr>
              <w:shd w:val="clear" w:color="auto" w:fill="FFFFFF" w:themeFill="background1"/>
              <w:rPr>
                <w:sz w:val="20"/>
                <w:szCs w:val="20"/>
                <w:lang w:val="en-GB"/>
              </w:rPr>
            </w:pPr>
            <w:r w:rsidRPr="00CF4C4E">
              <w:rPr>
                <w:sz w:val="20"/>
                <w:szCs w:val="20"/>
                <w:lang w:val="en-GB"/>
              </w:rPr>
              <w:t>Yes/No</w:t>
            </w:r>
          </w:p>
        </w:tc>
        <w:tc>
          <w:tcPr>
            <w:tcW w:w="2126" w:type="dxa"/>
            <w:tcBorders>
              <w:top w:val="double" w:sz="4" w:space="0" w:color="auto"/>
              <w:bottom w:val="double" w:sz="4" w:space="0" w:color="auto"/>
            </w:tcBorders>
            <w:shd w:val="clear" w:color="auto" w:fill="FFFFFF" w:themeFill="background1"/>
          </w:tcPr>
          <w:p w:rsidR="00EE56CF" w:rsidRPr="00CF4C4E" w:rsidRDefault="005C5D8A" w:rsidP="00CF4C4E">
            <w:pPr>
              <w:shd w:val="clear" w:color="auto" w:fill="FFFFFF" w:themeFill="background1"/>
              <w:rPr>
                <w:sz w:val="20"/>
                <w:szCs w:val="20"/>
                <w:lang w:val="en-GB"/>
              </w:rPr>
            </w:pPr>
            <w:r w:rsidRPr="00CF4C4E">
              <w:rPr>
                <w:sz w:val="20"/>
                <w:szCs w:val="20"/>
                <w:lang w:val="en-GB"/>
              </w:rPr>
              <w:t>SBRA work report</w:t>
            </w:r>
          </w:p>
        </w:tc>
        <w:tc>
          <w:tcPr>
            <w:tcW w:w="1220" w:type="dxa"/>
            <w:gridSpan w:val="2"/>
            <w:tcBorders>
              <w:top w:val="double" w:sz="4" w:space="0" w:color="auto"/>
              <w:bottom w:val="double" w:sz="4" w:space="0" w:color="auto"/>
            </w:tcBorders>
            <w:shd w:val="clear" w:color="auto" w:fill="FFFFFF" w:themeFill="background1"/>
          </w:tcPr>
          <w:p w:rsidR="00EE56CF" w:rsidRPr="00CF4C4E" w:rsidRDefault="005C5D8A" w:rsidP="00CF4C4E">
            <w:pPr>
              <w:shd w:val="clear" w:color="auto" w:fill="FFFFFF" w:themeFill="background1"/>
              <w:rPr>
                <w:sz w:val="20"/>
                <w:szCs w:val="20"/>
                <w:lang w:val="en-GB"/>
              </w:rPr>
            </w:pPr>
            <w:r w:rsidRPr="00CF4C4E">
              <w:rPr>
                <w:sz w:val="20"/>
                <w:szCs w:val="20"/>
                <w:lang w:val="en-GB"/>
              </w:rPr>
              <w:t>No</w:t>
            </w:r>
          </w:p>
        </w:tc>
        <w:tc>
          <w:tcPr>
            <w:tcW w:w="2040" w:type="dxa"/>
            <w:tcBorders>
              <w:top w:val="double" w:sz="4" w:space="0" w:color="auto"/>
              <w:bottom w:val="double" w:sz="4" w:space="0" w:color="auto"/>
            </w:tcBorders>
            <w:shd w:val="clear" w:color="auto" w:fill="FFFFFF" w:themeFill="background1"/>
          </w:tcPr>
          <w:p w:rsidR="00EE56CF" w:rsidRPr="00CF4C4E" w:rsidRDefault="00EE56CF" w:rsidP="00CF4C4E">
            <w:pPr>
              <w:shd w:val="clear" w:color="auto" w:fill="FFFFFF" w:themeFill="background1"/>
              <w:rPr>
                <w:sz w:val="20"/>
                <w:szCs w:val="20"/>
                <w:lang w:val="en-GB"/>
              </w:rPr>
            </w:pPr>
            <w:r w:rsidRPr="00CF4C4E">
              <w:rPr>
                <w:sz w:val="20"/>
                <w:szCs w:val="20"/>
                <w:lang w:val="en-GB"/>
              </w:rPr>
              <w:t>2019</w:t>
            </w:r>
          </w:p>
        </w:tc>
        <w:tc>
          <w:tcPr>
            <w:tcW w:w="1559" w:type="dxa"/>
            <w:tcBorders>
              <w:top w:val="double" w:sz="4" w:space="0" w:color="auto"/>
              <w:bottom w:val="double" w:sz="4" w:space="0" w:color="auto"/>
            </w:tcBorders>
            <w:shd w:val="clear" w:color="auto" w:fill="FFFFFF" w:themeFill="background1"/>
          </w:tcPr>
          <w:p w:rsidR="00EE56CF" w:rsidRPr="00CF4C4E" w:rsidRDefault="005C5D8A" w:rsidP="00CF4C4E">
            <w:pPr>
              <w:shd w:val="clear" w:color="auto" w:fill="FFFFFF" w:themeFill="background1"/>
              <w:rPr>
                <w:sz w:val="20"/>
                <w:szCs w:val="20"/>
                <w:lang w:val="en-GB"/>
              </w:rPr>
            </w:pPr>
            <w:r w:rsidRPr="00CF4C4E">
              <w:rPr>
                <w:sz w:val="20"/>
                <w:szCs w:val="20"/>
                <w:lang w:val="en-GB"/>
              </w:rPr>
              <w:t>Yes.</w:t>
            </w:r>
          </w:p>
        </w:tc>
        <w:tc>
          <w:tcPr>
            <w:tcW w:w="1276" w:type="dxa"/>
            <w:tcBorders>
              <w:top w:val="double" w:sz="4" w:space="0" w:color="auto"/>
              <w:bottom w:val="double" w:sz="4" w:space="0" w:color="auto"/>
              <w:right w:val="double" w:sz="4" w:space="0" w:color="auto"/>
            </w:tcBorders>
            <w:shd w:val="clear" w:color="auto" w:fill="FFFFFF" w:themeFill="background1"/>
          </w:tcPr>
          <w:p w:rsidR="00EE56CF" w:rsidRPr="00CF4C4E" w:rsidRDefault="005C5D8A" w:rsidP="00CF4C4E">
            <w:pPr>
              <w:shd w:val="clear" w:color="auto" w:fill="FFFFFF" w:themeFill="background1"/>
              <w:rPr>
                <w:sz w:val="20"/>
                <w:szCs w:val="20"/>
                <w:lang w:val="en-GB"/>
              </w:rPr>
            </w:pPr>
            <w:r w:rsidRPr="00CF4C4E">
              <w:rPr>
                <w:sz w:val="20"/>
                <w:szCs w:val="20"/>
                <w:lang w:val="en-GB"/>
              </w:rPr>
              <w:t>Yes.</w:t>
            </w:r>
          </w:p>
        </w:tc>
        <w:tc>
          <w:tcPr>
            <w:tcW w:w="1418" w:type="dxa"/>
            <w:tcBorders>
              <w:top w:val="double" w:sz="4" w:space="0" w:color="auto"/>
              <w:bottom w:val="double" w:sz="4" w:space="0" w:color="auto"/>
              <w:right w:val="double" w:sz="4" w:space="0" w:color="auto"/>
            </w:tcBorders>
            <w:shd w:val="clear" w:color="auto" w:fill="FFFFFF" w:themeFill="background1"/>
          </w:tcPr>
          <w:p w:rsidR="00EE56CF" w:rsidRPr="00CF4C4E" w:rsidRDefault="005C5D8A" w:rsidP="00CF4C4E">
            <w:pPr>
              <w:shd w:val="clear" w:color="auto" w:fill="FFFFFF" w:themeFill="background1"/>
              <w:rPr>
                <w:sz w:val="20"/>
                <w:szCs w:val="20"/>
                <w:lang w:val="en-GB"/>
              </w:rPr>
            </w:pPr>
            <w:r w:rsidRPr="00CF4C4E">
              <w:rPr>
                <w:sz w:val="20"/>
                <w:szCs w:val="20"/>
                <w:lang w:val="en-GB"/>
              </w:rPr>
              <w:t>Yes.</w:t>
            </w:r>
          </w:p>
        </w:tc>
      </w:tr>
      <w:tr w:rsidR="008A7033" w:rsidRPr="00CF4C4E" w:rsidTr="00675F8D">
        <w:trPr>
          <w:trHeight w:val="302"/>
        </w:trPr>
        <w:tc>
          <w:tcPr>
            <w:tcW w:w="3219" w:type="dxa"/>
            <w:tcBorders>
              <w:top w:val="double" w:sz="4" w:space="0" w:color="auto"/>
              <w:bottom w:val="double" w:sz="4" w:space="0" w:color="auto"/>
            </w:tcBorders>
            <w:shd w:val="clear" w:color="auto" w:fill="FFFFFF" w:themeFill="background1"/>
          </w:tcPr>
          <w:p w:rsidR="001A0C43" w:rsidRPr="00CF4C4E" w:rsidRDefault="006F74D9" w:rsidP="00CF4C4E">
            <w:pPr>
              <w:shd w:val="clear" w:color="auto" w:fill="FFFFFF" w:themeFill="background1"/>
              <w:rPr>
                <w:color w:val="FF0000"/>
                <w:sz w:val="20"/>
                <w:szCs w:val="20"/>
                <w:lang w:val="en-GB"/>
              </w:rPr>
            </w:pPr>
            <w:r w:rsidRPr="00CF4C4E">
              <w:rPr>
                <w:sz w:val="20"/>
                <w:szCs w:val="20"/>
                <w:lang w:val="en-GB"/>
              </w:rPr>
              <w:t>Rulebook on the methodology to comply with the AML/CFT Law and taking into account NRA findings passed</w:t>
            </w:r>
          </w:p>
        </w:tc>
        <w:tc>
          <w:tcPr>
            <w:tcW w:w="1274" w:type="dxa"/>
            <w:tcBorders>
              <w:top w:val="double" w:sz="4" w:space="0" w:color="auto"/>
              <w:bottom w:val="double" w:sz="4" w:space="0" w:color="auto"/>
            </w:tcBorders>
            <w:shd w:val="clear" w:color="auto" w:fill="FFFFFF" w:themeFill="background1"/>
          </w:tcPr>
          <w:p w:rsidR="008A7033" w:rsidRPr="00CF4C4E" w:rsidRDefault="006F74D9" w:rsidP="00CF4C4E">
            <w:pPr>
              <w:shd w:val="clear" w:color="auto" w:fill="FFFFFF" w:themeFill="background1"/>
              <w:rPr>
                <w:sz w:val="20"/>
                <w:szCs w:val="20"/>
                <w:lang w:val="en-GB"/>
              </w:rPr>
            </w:pPr>
            <w:r w:rsidRPr="00CF4C4E">
              <w:rPr>
                <w:sz w:val="20"/>
                <w:szCs w:val="20"/>
                <w:lang w:val="en-GB"/>
              </w:rPr>
              <w:t>Yes/No</w:t>
            </w:r>
          </w:p>
        </w:tc>
        <w:tc>
          <w:tcPr>
            <w:tcW w:w="2126" w:type="dxa"/>
            <w:tcBorders>
              <w:top w:val="double" w:sz="4" w:space="0" w:color="auto"/>
              <w:bottom w:val="double" w:sz="4" w:space="0" w:color="auto"/>
            </w:tcBorders>
            <w:shd w:val="clear" w:color="auto" w:fill="FFFFFF" w:themeFill="background1"/>
          </w:tcPr>
          <w:p w:rsidR="008A7033" w:rsidRPr="00CF4C4E" w:rsidRDefault="008A7033" w:rsidP="00CF4C4E">
            <w:pPr>
              <w:shd w:val="clear" w:color="auto" w:fill="FFFFFF" w:themeFill="background1"/>
              <w:rPr>
                <w:sz w:val="20"/>
                <w:szCs w:val="20"/>
                <w:lang w:val="en-GB"/>
              </w:rPr>
            </w:pPr>
            <w:r w:rsidRPr="00CF4C4E">
              <w:rPr>
                <w:sz w:val="20"/>
                <w:szCs w:val="20"/>
                <w:lang w:val="en-GB"/>
              </w:rPr>
              <w:t>Adoption of a Rulebook</w:t>
            </w:r>
          </w:p>
        </w:tc>
        <w:tc>
          <w:tcPr>
            <w:tcW w:w="1220" w:type="dxa"/>
            <w:gridSpan w:val="2"/>
            <w:tcBorders>
              <w:top w:val="double" w:sz="4" w:space="0" w:color="auto"/>
              <w:bottom w:val="double" w:sz="4" w:space="0" w:color="auto"/>
            </w:tcBorders>
            <w:shd w:val="clear" w:color="auto" w:fill="FFFFFF" w:themeFill="background1"/>
          </w:tcPr>
          <w:p w:rsidR="008A7033" w:rsidRPr="00CF4C4E" w:rsidRDefault="006F74D9" w:rsidP="00CF4C4E">
            <w:pPr>
              <w:shd w:val="clear" w:color="auto" w:fill="FFFFFF" w:themeFill="background1"/>
              <w:rPr>
                <w:sz w:val="20"/>
                <w:szCs w:val="20"/>
                <w:lang w:val="en-GB"/>
              </w:rPr>
            </w:pPr>
            <w:r w:rsidRPr="00CF4C4E">
              <w:rPr>
                <w:sz w:val="20"/>
                <w:szCs w:val="20"/>
                <w:lang w:val="en-GB"/>
              </w:rPr>
              <w:t>No</w:t>
            </w:r>
          </w:p>
        </w:tc>
        <w:tc>
          <w:tcPr>
            <w:tcW w:w="2040" w:type="dxa"/>
            <w:tcBorders>
              <w:top w:val="double" w:sz="4" w:space="0" w:color="auto"/>
              <w:bottom w:val="double" w:sz="4" w:space="0" w:color="auto"/>
            </w:tcBorders>
            <w:shd w:val="clear" w:color="auto" w:fill="FFFFFF" w:themeFill="background1"/>
          </w:tcPr>
          <w:p w:rsidR="008A7033" w:rsidRPr="00CF4C4E" w:rsidRDefault="006F74D9" w:rsidP="00CF4C4E">
            <w:pPr>
              <w:shd w:val="clear" w:color="auto" w:fill="FFFFFF" w:themeFill="background1"/>
              <w:rPr>
                <w:sz w:val="20"/>
                <w:szCs w:val="20"/>
                <w:lang w:val="en-GB"/>
              </w:rPr>
            </w:pPr>
            <w:r w:rsidRPr="00CF4C4E">
              <w:rPr>
                <w:sz w:val="20"/>
                <w:szCs w:val="20"/>
                <w:lang w:val="en-GB"/>
              </w:rPr>
              <w:t>2019</w:t>
            </w:r>
          </w:p>
        </w:tc>
        <w:tc>
          <w:tcPr>
            <w:tcW w:w="1559" w:type="dxa"/>
            <w:tcBorders>
              <w:top w:val="double" w:sz="4" w:space="0" w:color="auto"/>
              <w:bottom w:val="double" w:sz="4" w:space="0" w:color="auto"/>
            </w:tcBorders>
            <w:shd w:val="clear" w:color="auto" w:fill="FFFFFF" w:themeFill="background1"/>
          </w:tcPr>
          <w:p w:rsidR="008A7033" w:rsidRPr="00CF4C4E" w:rsidRDefault="006F74D9" w:rsidP="00CF4C4E">
            <w:pPr>
              <w:shd w:val="clear" w:color="auto" w:fill="FFFFFF" w:themeFill="background1"/>
              <w:rPr>
                <w:sz w:val="20"/>
                <w:szCs w:val="20"/>
                <w:lang w:val="en-GB"/>
              </w:rPr>
            </w:pPr>
            <w:r w:rsidRPr="00CF4C4E">
              <w:rPr>
                <w:sz w:val="20"/>
                <w:szCs w:val="20"/>
                <w:lang w:val="en-GB"/>
              </w:rPr>
              <w:t>Yes.</w:t>
            </w:r>
          </w:p>
        </w:tc>
        <w:tc>
          <w:tcPr>
            <w:tcW w:w="1276" w:type="dxa"/>
            <w:tcBorders>
              <w:top w:val="double" w:sz="4" w:space="0" w:color="auto"/>
              <w:bottom w:val="double" w:sz="4" w:space="0" w:color="auto"/>
              <w:right w:val="double" w:sz="4" w:space="0" w:color="auto"/>
            </w:tcBorders>
            <w:shd w:val="clear" w:color="auto" w:fill="FFFFFF" w:themeFill="background1"/>
          </w:tcPr>
          <w:p w:rsidR="008A7033" w:rsidRPr="00CF4C4E" w:rsidRDefault="006F74D9" w:rsidP="00CF4C4E">
            <w:pPr>
              <w:shd w:val="clear" w:color="auto" w:fill="FFFFFF" w:themeFill="background1"/>
              <w:rPr>
                <w:sz w:val="20"/>
                <w:szCs w:val="20"/>
                <w:lang w:val="en-GB"/>
              </w:rPr>
            </w:pPr>
            <w:r w:rsidRPr="00CF4C4E">
              <w:rPr>
                <w:sz w:val="20"/>
                <w:szCs w:val="20"/>
                <w:lang w:val="en-GB"/>
              </w:rPr>
              <w:t>Yes.</w:t>
            </w:r>
          </w:p>
        </w:tc>
        <w:tc>
          <w:tcPr>
            <w:tcW w:w="1418" w:type="dxa"/>
            <w:tcBorders>
              <w:top w:val="double" w:sz="4" w:space="0" w:color="auto"/>
              <w:bottom w:val="double" w:sz="4" w:space="0" w:color="auto"/>
              <w:right w:val="double" w:sz="4" w:space="0" w:color="auto"/>
            </w:tcBorders>
            <w:shd w:val="clear" w:color="auto" w:fill="FFFFFF" w:themeFill="background1"/>
          </w:tcPr>
          <w:p w:rsidR="008A7033" w:rsidRPr="00CF4C4E" w:rsidRDefault="006F74D9" w:rsidP="00CF4C4E">
            <w:pPr>
              <w:shd w:val="clear" w:color="auto" w:fill="FFFFFF" w:themeFill="background1"/>
              <w:rPr>
                <w:sz w:val="20"/>
                <w:szCs w:val="20"/>
                <w:lang w:val="en-GB"/>
              </w:rPr>
            </w:pPr>
            <w:r w:rsidRPr="00CF4C4E">
              <w:rPr>
                <w:sz w:val="20"/>
                <w:szCs w:val="20"/>
                <w:lang w:val="en-GB"/>
              </w:rPr>
              <w:t>Yes.</w:t>
            </w:r>
          </w:p>
        </w:tc>
      </w:tr>
      <w:tr w:rsidR="00692B78" w:rsidRPr="00CF4C4E" w:rsidTr="00675F8D">
        <w:trPr>
          <w:trHeight w:val="302"/>
        </w:trPr>
        <w:tc>
          <w:tcPr>
            <w:tcW w:w="3219" w:type="dxa"/>
            <w:tcBorders>
              <w:top w:val="double" w:sz="4" w:space="0" w:color="auto"/>
              <w:bottom w:val="double" w:sz="4" w:space="0" w:color="auto"/>
            </w:tcBorders>
            <w:shd w:val="clear" w:color="auto" w:fill="FFFFFF" w:themeFill="background1"/>
          </w:tcPr>
          <w:p w:rsidR="00692B78" w:rsidRPr="00CF4C4E" w:rsidRDefault="00996814" w:rsidP="00CF4C4E">
            <w:pPr>
              <w:shd w:val="clear" w:color="auto" w:fill="FFFFFF" w:themeFill="background1"/>
              <w:rPr>
                <w:sz w:val="20"/>
                <w:szCs w:val="20"/>
                <w:lang w:val="en-GB"/>
              </w:rPr>
            </w:pPr>
            <w:r w:rsidRPr="00CF4C4E">
              <w:rPr>
                <w:sz w:val="20"/>
                <w:szCs w:val="20"/>
                <w:lang w:val="en-GB"/>
              </w:rPr>
              <w:lastRenderedPageBreak/>
              <w:t>Improvement of the system under this measure in line with the risks found, annually</w:t>
            </w:r>
          </w:p>
        </w:tc>
        <w:tc>
          <w:tcPr>
            <w:tcW w:w="1274" w:type="dxa"/>
            <w:tcBorders>
              <w:top w:val="double" w:sz="4" w:space="0" w:color="auto"/>
              <w:bottom w:val="double" w:sz="4" w:space="0" w:color="auto"/>
            </w:tcBorders>
            <w:shd w:val="clear" w:color="auto" w:fill="FFFFFF" w:themeFill="background1"/>
          </w:tcPr>
          <w:p w:rsidR="00692B78" w:rsidRPr="00CF4C4E" w:rsidRDefault="00692B78" w:rsidP="00CF4C4E">
            <w:pPr>
              <w:shd w:val="clear" w:color="auto" w:fill="FFFFFF" w:themeFill="background1"/>
              <w:rPr>
                <w:sz w:val="20"/>
                <w:szCs w:val="20"/>
                <w:lang w:val="en-GB"/>
              </w:rPr>
            </w:pPr>
            <w:r w:rsidRPr="00CF4C4E">
              <w:rPr>
                <w:sz w:val="20"/>
                <w:szCs w:val="20"/>
                <w:lang w:val="en-GB"/>
              </w:rPr>
              <w:t>Yes/No</w:t>
            </w:r>
          </w:p>
        </w:tc>
        <w:tc>
          <w:tcPr>
            <w:tcW w:w="2126" w:type="dxa"/>
            <w:tcBorders>
              <w:top w:val="double" w:sz="4" w:space="0" w:color="auto"/>
              <w:bottom w:val="double" w:sz="4" w:space="0" w:color="auto"/>
            </w:tcBorders>
            <w:shd w:val="clear" w:color="auto" w:fill="FFFFFF" w:themeFill="background1"/>
          </w:tcPr>
          <w:p w:rsidR="00692B78" w:rsidRPr="00CF4C4E" w:rsidRDefault="006C4E6E" w:rsidP="00CF4C4E">
            <w:pPr>
              <w:shd w:val="clear" w:color="auto" w:fill="FFFFFF" w:themeFill="background1"/>
              <w:rPr>
                <w:sz w:val="20"/>
                <w:szCs w:val="20"/>
                <w:lang w:val="en-GB"/>
              </w:rPr>
            </w:pPr>
            <w:r w:rsidRPr="00CF4C4E">
              <w:rPr>
                <w:sz w:val="20"/>
                <w:szCs w:val="20"/>
                <w:lang w:val="en-GB"/>
              </w:rPr>
              <w:t>Reports by competent institutions; Report of the Coordination Body</w:t>
            </w:r>
          </w:p>
        </w:tc>
        <w:tc>
          <w:tcPr>
            <w:tcW w:w="1220" w:type="dxa"/>
            <w:gridSpan w:val="2"/>
            <w:tcBorders>
              <w:top w:val="double" w:sz="4" w:space="0" w:color="auto"/>
              <w:bottom w:val="double" w:sz="4" w:space="0" w:color="auto"/>
            </w:tcBorders>
            <w:shd w:val="clear" w:color="auto" w:fill="FFFFFF" w:themeFill="background1"/>
          </w:tcPr>
          <w:p w:rsidR="00692B78" w:rsidRPr="00CF4C4E" w:rsidRDefault="006C4E6E" w:rsidP="00CF4C4E">
            <w:pPr>
              <w:shd w:val="clear" w:color="auto" w:fill="FFFFFF" w:themeFill="background1"/>
              <w:rPr>
                <w:sz w:val="20"/>
                <w:szCs w:val="20"/>
                <w:lang w:val="en-GB"/>
              </w:rPr>
            </w:pPr>
            <w:r w:rsidRPr="00CF4C4E">
              <w:rPr>
                <w:sz w:val="20"/>
                <w:szCs w:val="20"/>
                <w:lang w:val="en-GB"/>
              </w:rPr>
              <w:t>Yes.</w:t>
            </w:r>
          </w:p>
        </w:tc>
        <w:tc>
          <w:tcPr>
            <w:tcW w:w="2040" w:type="dxa"/>
            <w:tcBorders>
              <w:top w:val="double" w:sz="4" w:space="0" w:color="auto"/>
              <w:bottom w:val="double" w:sz="4" w:space="0" w:color="auto"/>
            </w:tcBorders>
            <w:shd w:val="clear" w:color="auto" w:fill="FFFFFF" w:themeFill="background1"/>
          </w:tcPr>
          <w:p w:rsidR="00692B78" w:rsidRPr="00CF4C4E" w:rsidRDefault="006C4E6E" w:rsidP="00CF4C4E">
            <w:pPr>
              <w:shd w:val="clear" w:color="auto" w:fill="FFFFFF" w:themeFill="background1"/>
              <w:rPr>
                <w:sz w:val="20"/>
                <w:szCs w:val="20"/>
                <w:lang w:val="en-GB"/>
              </w:rPr>
            </w:pPr>
            <w:r w:rsidRPr="00CF4C4E">
              <w:rPr>
                <w:sz w:val="20"/>
                <w:szCs w:val="20"/>
                <w:lang w:val="en-GB"/>
              </w:rPr>
              <w:t>2019</w:t>
            </w:r>
          </w:p>
        </w:tc>
        <w:tc>
          <w:tcPr>
            <w:tcW w:w="1559" w:type="dxa"/>
            <w:tcBorders>
              <w:top w:val="double" w:sz="4" w:space="0" w:color="auto"/>
              <w:bottom w:val="double" w:sz="4" w:space="0" w:color="auto"/>
            </w:tcBorders>
            <w:shd w:val="clear" w:color="auto" w:fill="FFFFFF" w:themeFill="background1"/>
          </w:tcPr>
          <w:p w:rsidR="00692B78" w:rsidRPr="00CF4C4E" w:rsidRDefault="006C4E6E" w:rsidP="00CF4C4E">
            <w:pPr>
              <w:shd w:val="clear" w:color="auto" w:fill="FFFFFF" w:themeFill="background1"/>
              <w:rPr>
                <w:sz w:val="20"/>
                <w:szCs w:val="20"/>
                <w:lang w:val="en-GB"/>
              </w:rPr>
            </w:pPr>
            <w:r w:rsidRPr="00CF4C4E">
              <w:rPr>
                <w:sz w:val="20"/>
                <w:szCs w:val="20"/>
                <w:lang w:val="en-GB"/>
              </w:rPr>
              <w:t>Yes.</w:t>
            </w:r>
          </w:p>
        </w:tc>
        <w:tc>
          <w:tcPr>
            <w:tcW w:w="1276" w:type="dxa"/>
            <w:tcBorders>
              <w:top w:val="double" w:sz="4" w:space="0" w:color="auto"/>
              <w:bottom w:val="double" w:sz="4" w:space="0" w:color="auto"/>
              <w:right w:val="double" w:sz="4" w:space="0" w:color="auto"/>
            </w:tcBorders>
            <w:shd w:val="clear" w:color="auto" w:fill="FFFFFF" w:themeFill="background1"/>
          </w:tcPr>
          <w:p w:rsidR="00692B78" w:rsidRPr="00CF4C4E" w:rsidRDefault="006C4E6E" w:rsidP="00CF4C4E">
            <w:pPr>
              <w:shd w:val="clear" w:color="auto" w:fill="FFFFFF" w:themeFill="background1"/>
              <w:rPr>
                <w:sz w:val="20"/>
                <w:szCs w:val="20"/>
                <w:lang w:val="en-GB"/>
              </w:rPr>
            </w:pPr>
            <w:r w:rsidRPr="00CF4C4E">
              <w:rPr>
                <w:sz w:val="20"/>
                <w:szCs w:val="20"/>
                <w:lang w:val="en-GB"/>
              </w:rPr>
              <w:t>Yes.</w:t>
            </w:r>
          </w:p>
        </w:tc>
        <w:tc>
          <w:tcPr>
            <w:tcW w:w="1418" w:type="dxa"/>
            <w:tcBorders>
              <w:top w:val="double" w:sz="4" w:space="0" w:color="auto"/>
              <w:bottom w:val="double" w:sz="4" w:space="0" w:color="auto"/>
              <w:right w:val="double" w:sz="4" w:space="0" w:color="auto"/>
            </w:tcBorders>
            <w:shd w:val="clear" w:color="auto" w:fill="FFFFFF" w:themeFill="background1"/>
          </w:tcPr>
          <w:p w:rsidR="00692B78" w:rsidRPr="00CF4C4E" w:rsidRDefault="006C4E6E" w:rsidP="00CF4C4E">
            <w:pPr>
              <w:shd w:val="clear" w:color="auto" w:fill="FFFFFF" w:themeFill="background1"/>
              <w:rPr>
                <w:sz w:val="20"/>
                <w:szCs w:val="20"/>
                <w:lang w:val="en-GB"/>
              </w:rPr>
            </w:pPr>
            <w:r w:rsidRPr="00CF4C4E">
              <w:rPr>
                <w:sz w:val="20"/>
                <w:szCs w:val="20"/>
                <w:lang w:val="en-GB"/>
              </w:rPr>
              <w:t>Yes.</w:t>
            </w:r>
          </w:p>
        </w:tc>
      </w:tr>
    </w:tbl>
    <w:p w:rsidR="00F43ECD" w:rsidRPr="00CF4C4E" w:rsidRDefault="00F43ECD" w:rsidP="00CF4C4E">
      <w:pPr>
        <w:rPr>
          <w:sz w:val="20"/>
          <w:szCs w:val="20"/>
          <w:lang w:val="en-GB"/>
        </w:rPr>
      </w:pPr>
    </w:p>
    <w:tbl>
      <w:tblPr>
        <w:tblStyle w:val="TableGrid"/>
        <w:tblW w:w="5000" w:type="pct"/>
        <w:tblLayout w:type="fixed"/>
        <w:tblLook w:val="04A0"/>
      </w:tblPr>
      <w:tblGrid>
        <w:gridCol w:w="2392"/>
        <w:gridCol w:w="1142"/>
        <w:gridCol w:w="1236"/>
        <w:gridCol w:w="1157"/>
        <w:gridCol w:w="1568"/>
        <w:gridCol w:w="1154"/>
        <w:gridCol w:w="1684"/>
        <w:gridCol w:w="1829"/>
        <w:gridCol w:w="2013"/>
      </w:tblGrid>
      <w:tr w:rsidR="00D53854" w:rsidRPr="00CF4C4E" w:rsidTr="00D53854">
        <w:trPr>
          <w:trHeight w:val="140"/>
          <w:tblHeader/>
        </w:trPr>
        <w:tc>
          <w:tcPr>
            <w:tcW w:w="844" w:type="pct"/>
            <w:vMerge w:val="restart"/>
            <w:tcBorders>
              <w:top w:val="double" w:sz="4" w:space="0" w:color="auto"/>
              <w:left w:val="double" w:sz="4" w:space="0" w:color="auto"/>
            </w:tcBorders>
            <w:shd w:val="clear" w:color="auto" w:fill="E5DFEC" w:themeFill="accent4" w:themeFillTint="33"/>
          </w:tcPr>
          <w:p w:rsidR="00D53854" w:rsidRPr="00CF4C4E" w:rsidRDefault="00D53854" w:rsidP="00CF4C4E">
            <w:pPr>
              <w:rPr>
                <w:b/>
                <w:sz w:val="20"/>
                <w:szCs w:val="20"/>
                <w:lang w:val="en-GB"/>
              </w:rPr>
            </w:pPr>
            <w:r w:rsidRPr="00CF4C4E">
              <w:rPr>
                <w:b/>
                <w:bCs/>
                <w:sz w:val="20"/>
                <w:szCs w:val="20"/>
                <w:lang w:val="en-GB"/>
              </w:rPr>
              <w:t>Activity title:</w:t>
            </w:r>
          </w:p>
        </w:tc>
        <w:tc>
          <w:tcPr>
            <w:tcW w:w="403" w:type="pct"/>
            <w:vMerge w:val="restart"/>
            <w:tcBorders>
              <w:top w:val="double" w:sz="4" w:space="0" w:color="auto"/>
            </w:tcBorders>
            <w:shd w:val="clear" w:color="auto" w:fill="E5DFEC" w:themeFill="accent4" w:themeFillTint="33"/>
          </w:tcPr>
          <w:p w:rsidR="00D53854" w:rsidRPr="00CF4C4E" w:rsidRDefault="00D53854" w:rsidP="00CF4C4E">
            <w:pPr>
              <w:rPr>
                <w:b/>
                <w:sz w:val="20"/>
                <w:szCs w:val="20"/>
                <w:lang w:val="en-GB"/>
              </w:rPr>
            </w:pPr>
            <w:r w:rsidRPr="00CF4C4E">
              <w:rPr>
                <w:b/>
                <w:bCs/>
                <w:sz w:val="20"/>
                <w:szCs w:val="20"/>
                <w:lang w:val="en-GB"/>
              </w:rPr>
              <w:t>Authority implementing the activity</w:t>
            </w:r>
          </w:p>
        </w:tc>
        <w:tc>
          <w:tcPr>
            <w:tcW w:w="436" w:type="pct"/>
            <w:vMerge w:val="restart"/>
            <w:tcBorders>
              <w:top w:val="double" w:sz="4" w:space="0" w:color="auto"/>
            </w:tcBorders>
            <w:shd w:val="clear" w:color="auto" w:fill="E5DFEC" w:themeFill="accent4" w:themeFillTint="33"/>
          </w:tcPr>
          <w:p w:rsidR="00D53854" w:rsidRPr="00CF4C4E" w:rsidRDefault="00D53854" w:rsidP="00CF4C4E">
            <w:pPr>
              <w:rPr>
                <w:b/>
                <w:sz w:val="20"/>
                <w:szCs w:val="20"/>
                <w:lang w:val="en-GB"/>
              </w:rPr>
            </w:pPr>
            <w:r w:rsidRPr="00CF4C4E">
              <w:rPr>
                <w:b/>
                <w:bCs/>
                <w:sz w:val="20"/>
                <w:szCs w:val="20"/>
                <w:lang w:val="en-GB"/>
              </w:rPr>
              <w:t>Partners in the implementation of the activity</w:t>
            </w:r>
          </w:p>
        </w:tc>
        <w:tc>
          <w:tcPr>
            <w:tcW w:w="408" w:type="pct"/>
            <w:vMerge w:val="restart"/>
            <w:tcBorders>
              <w:top w:val="double" w:sz="4" w:space="0" w:color="auto"/>
            </w:tcBorders>
            <w:shd w:val="clear" w:color="auto" w:fill="E5DFEC" w:themeFill="accent4" w:themeFillTint="33"/>
          </w:tcPr>
          <w:p w:rsidR="00D53854" w:rsidRPr="00CF4C4E" w:rsidRDefault="00D53854" w:rsidP="00CF4C4E">
            <w:pPr>
              <w:jc w:val="center"/>
              <w:rPr>
                <w:b/>
                <w:sz w:val="20"/>
                <w:szCs w:val="20"/>
                <w:lang w:val="en-GB"/>
              </w:rPr>
            </w:pPr>
            <w:r w:rsidRPr="00CF4C4E">
              <w:rPr>
                <w:b/>
                <w:bCs/>
                <w:sz w:val="20"/>
                <w:szCs w:val="20"/>
                <w:lang w:val="en-GB"/>
              </w:rPr>
              <w:t>Deadline for completion of activity</w:t>
            </w:r>
          </w:p>
        </w:tc>
        <w:tc>
          <w:tcPr>
            <w:tcW w:w="553" w:type="pct"/>
            <w:vMerge w:val="restart"/>
            <w:tcBorders>
              <w:top w:val="double" w:sz="4" w:space="0" w:color="auto"/>
            </w:tcBorders>
            <w:shd w:val="clear" w:color="auto" w:fill="E5DFEC" w:themeFill="accent4" w:themeFillTint="33"/>
          </w:tcPr>
          <w:p w:rsidR="00D53854" w:rsidRPr="00CF4C4E" w:rsidRDefault="00D53854" w:rsidP="00CF4C4E">
            <w:pPr>
              <w:jc w:val="center"/>
              <w:rPr>
                <w:b/>
                <w:sz w:val="20"/>
                <w:szCs w:val="20"/>
                <w:lang w:val="en-GB"/>
              </w:rPr>
            </w:pPr>
            <w:r w:rsidRPr="00CF4C4E">
              <w:rPr>
                <w:b/>
                <w:bCs/>
                <w:sz w:val="20"/>
                <w:szCs w:val="20"/>
                <w:lang w:val="en-GB"/>
              </w:rPr>
              <w:t>Source of financing</w:t>
            </w:r>
          </w:p>
        </w:tc>
        <w:tc>
          <w:tcPr>
            <w:tcW w:w="407" w:type="pct"/>
            <w:vMerge w:val="restart"/>
            <w:tcBorders>
              <w:top w:val="double" w:sz="4" w:space="0" w:color="auto"/>
            </w:tcBorders>
            <w:shd w:val="clear" w:color="auto" w:fill="E5DFEC" w:themeFill="accent4" w:themeFillTint="33"/>
          </w:tcPr>
          <w:p w:rsidR="00D53854" w:rsidRPr="00CF4C4E" w:rsidRDefault="00D53854" w:rsidP="00CF4C4E">
            <w:pPr>
              <w:rPr>
                <w:b/>
                <w:sz w:val="20"/>
                <w:szCs w:val="20"/>
                <w:lang w:val="en-GB"/>
              </w:rPr>
            </w:pPr>
            <w:r w:rsidRPr="00CF4C4E">
              <w:rPr>
                <w:b/>
                <w:bCs/>
                <w:sz w:val="20"/>
                <w:szCs w:val="20"/>
                <w:lang w:val="en-GB"/>
              </w:rPr>
              <w:t>Link to programme budget</w:t>
            </w:r>
          </w:p>
          <w:p w:rsidR="00D53854" w:rsidRPr="00CF4C4E" w:rsidRDefault="00D53854" w:rsidP="00CF4C4E">
            <w:pPr>
              <w:jc w:val="center"/>
              <w:rPr>
                <w:b/>
                <w:sz w:val="20"/>
                <w:szCs w:val="20"/>
                <w:lang w:val="en-GB"/>
              </w:rPr>
            </w:pPr>
          </w:p>
        </w:tc>
        <w:tc>
          <w:tcPr>
            <w:tcW w:w="1949" w:type="pct"/>
            <w:gridSpan w:val="3"/>
            <w:tcBorders>
              <w:top w:val="double" w:sz="4" w:space="0" w:color="auto"/>
            </w:tcBorders>
            <w:shd w:val="clear" w:color="auto" w:fill="E5DFEC" w:themeFill="accent4" w:themeFillTint="33"/>
          </w:tcPr>
          <w:p w:rsidR="00D53854" w:rsidRPr="00CF4C4E" w:rsidRDefault="00D53854" w:rsidP="00CF4C4E">
            <w:pPr>
              <w:jc w:val="center"/>
              <w:rPr>
                <w:b/>
                <w:sz w:val="20"/>
                <w:szCs w:val="20"/>
                <w:lang w:val="en-GB"/>
              </w:rPr>
            </w:pPr>
            <w:r w:rsidRPr="00CF4C4E">
              <w:rPr>
                <w:b/>
                <w:bCs/>
                <w:sz w:val="20"/>
                <w:szCs w:val="20"/>
                <w:lang w:val="en-GB"/>
              </w:rPr>
              <w:t>Total assessed financial resources by source in RSD 000</w:t>
            </w:r>
          </w:p>
        </w:tc>
      </w:tr>
      <w:tr w:rsidR="00DB34B7" w:rsidRPr="00CF4C4E" w:rsidTr="00DB34B7">
        <w:trPr>
          <w:trHeight w:val="386"/>
          <w:tblHeader/>
        </w:trPr>
        <w:tc>
          <w:tcPr>
            <w:tcW w:w="844" w:type="pct"/>
            <w:vMerge/>
            <w:tcBorders>
              <w:left w:val="double" w:sz="4" w:space="0" w:color="auto"/>
            </w:tcBorders>
            <w:shd w:val="clear" w:color="auto" w:fill="E5DFEC" w:themeFill="accent4" w:themeFillTint="33"/>
          </w:tcPr>
          <w:p w:rsidR="00DB34B7" w:rsidRPr="00CF4C4E" w:rsidRDefault="00DB34B7" w:rsidP="00CF4C4E">
            <w:pPr>
              <w:rPr>
                <w:sz w:val="20"/>
                <w:szCs w:val="20"/>
                <w:lang w:val="en-GB"/>
              </w:rPr>
            </w:pPr>
          </w:p>
        </w:tc>
        <w:tc>
          <w:tcPr>
            <w:tcW w:w="403" w:type="pct"/>
            <w:vMerge/>
            <w:shd w:val="clear" w:color="auto" w:fill="E5DFEC" w:themeFill="accent4" w:themeFillTint="33"/>
          </w:tcPr>
          <w:p w:rsidR="00DB34B7" w:rsidRPr="00CF4C4E" w:rsidRDefault="00DB34B7" w:rsidP="00CF4C4E">
            <w:pPr>
              <w:rPr>
                <w:sz w:val="20"/>
                <w:szCs w:val="20"/>
                <w:lang w:val="en-GB"/>
              </w:rPr>
            </w:pPr>
          </w:p>
        </w:tc>
        <w:tc>
          <w:tcPr>
            <w:tcW w:w="436" w:type="pct"/>
            <w:vMerge/>
            <w:shd w:val="clear" w:color="auto" w:fill="E5DFEC" w:themeFill="accent4" w:themeFillTint="33"/>
          </w:tcPr>
          <w:p w:rsidR="00DB34B7" w:rsidRPr="00CF4C4E" w:rsidRDefault="00DB34B7" w:rsidP="00CF4C4E">
            <w:pPr>
              <w:rPr>
                <w:sz w:val="20"/>
                <w:szCs w:val="20"/>
                <w:lang w:val="en-GB"/>
              </w:rPr>
            </w:pPr>
          </w:p>
        </w:tc>
        <w:tc>
          <w:tcPr>
            <w:tcW w:w="408" w:type="pct"/>
            <w:vMerge/>
            <w:shd w:val="clear" w:color="auto" w:fill="E5DFEC" w:themeFill="accent4" w:themeFillTint="33"/>
          </w:tcPr>
          <w:p w:rsidR="00DB34B7" w:rsidRPr="00CF4C4E" w:rsidRDefault="00DB34B7" w:rsidP="00CF4C4E">
            <w:pPr>
              <w:jc w:val="center"/>
              <w:rPr>
                <w:sz w:val="20"/>
                <w:szCs w:val="20"/>
                <w:lang w:val="en-GB"/>
              </w:rPr>
            </w:pPr>
          </w:p>
        </w:tc>
        <w:tc>
          <w:tcPr>
            <w:tcW w:w="553" w:type="pct"/>
            <w:vMerge/>
            <w:shd w:val="clear" w:color="auto" w:fill="E5DFEC" w:themeFill="accent4" w:themeFillTint="33"/>
          </w:tcPr>
          <w:p w:rsidR="00DB34B7" w:rsidRPr="00CF4C4E" w:rsidRDefault="00DB34B7" w:rsidP="00CF4C4E">
            <w:pPr>
              <w:jc w:val="center"/>
              <w:rPr>
                <w:sz w:val="20"/>
                <w:szCs w:val="20"/>
                <w:lang w:val="en-GB"/>
              </w:rPr>
            </w:pPr>
          </w:p>
        </w:tc>
        <w:tc>
          <w:tcPr>
            <w:tcW w:w="407" w:type="pct"/>
            <w:vMerge/>
            <w:shd w:val="clear" w:color="auto" w:fill="E5DFEC" w:themeFill="accent4" w:themeFillTint="33"/>
          </w:tcPr>
          <w:p w:rsidR="00DB34B7" w:rsidRPr="00CF4C4E" w:rsidRDefault="00DB34B7" w:rsidP="00CF4C4E">
            <w:pPr>
              <w:jc w:val="center"/>
              <w:rPr>
                <w:sz w:val="20"/>
                <w:szCs w:val="20"/>
                <w:lang w:val="en-GB"/>
              </w:rPr>
            </w:pPr>
          </w:p>
        </w:tc>
        <w:tc>
          <w:tcPr>
            <w:tcW w:w="594" w:type="pct"/>
            <w:shd w:val="clear" w:color="auto" w:fill="E5DFEC" w:themeFill="accent4" w:themeFillTint="33"/>
          </w:tcPr>
          <w:p w:rsidR="00DB34B7" w:rsidRPr="00CF4C4E" w:rsidRDefault="00DB34B7" w:rsidP="00CF4C4E">
            <w:pPr>
              <w:jc w:val="center"/>
              <w:rPr>
                <w:b/>
                <w:sz w:val="20"/>
                <w:szCs w:val="20"/>
                <w:lang w:val="en-GB"/>
              </w:rPr>
            </w:pPr>
            <w:r w:rsidRPr="00CF4C4E">
              <w:rPr>
                <w:b/>
                <w:bCs/>
                <w:sz w:val="20"/>
                <w:szCs w:val="20"/>
                <w:lang w:val="en-GB"/>
              </w:rPr>
              <w:t>2020</w:t>
            </w:r>
          </w:p>
        </w:tc>
        <w:tc>
          <w:tcPr>
            <w:tcW w:w="645" w:type="pct"/>
            <w:shd w:val="clear" w:color="auto" w:fill="E5DFEC" w:themeFill="accent4" w:themeFillTint="33"/>
          </w:tcPr>
          <w:p w:rsidR="00DB34B7" w:rsidRPr="00CF4C4E" w:rsidRDefault="00DB34B7" w:rsidP="00CF4C4E">
            <w:pPr>
              <w:jc w:val="center"/>
              <w:rPr>
                <w:b/>
                <w:sz w:val="20"/>
                <w:szCs w:val="20"/>
                <w:lang w:val="en-GB"/>
              </w:rPr>
            </w:pPr>
            <w:r w:rsidRPr="00CF4C4E">
              <w:rPr>
                <w:b/>
                <w:bCs/>
                <w:sz w:val="20"/>
                <w:szCs w:val="20"/>
                <w:lang w:val="en-GB"/>
              </w:rPr>
              <w:t>2021</w:t>
            </w:r>
          </w:p>
        </w:tc>
        <w:tc>
          <w:tcPr>
            <w:tcW w:w="710" w:type="pct"/>
            <w:shd w:val="clear" w:color="auto" w:fill="E5DFEC" w:themeFill="accent4" w:themeFillTint="33"/>
          </w:tcPr>
          <w:p w:rsidR="00DB34B7" w:rsidRPr="00CF4C4E" w:rsidRDefault="00DB34B7" w:rsidP="00CF4C4E">
            <w:pPr>
              <w:jc w:val="center"/>
              <w:rPr>
                <w:b/>
                <w:sz w:val="20"/>
                <w:szCs w:val="20"/>
                <w:lang w:val="en-GB"/>
              </w:rPr>
            </w:pPr>
            <w:r w:rsidRPr="00CF4C4E">
              <w:rPr>
                <w:b/>
                <w:bCs/>
                <w:sz w:val="20"/>
                <w:szCs w:val="20"/>
                <w:lang w:val="en-GB"/>
              </w:rPr>
              <w:t>2022</w:t>
            </w:r>
          </w:p>
          <w:p w:rsidR="00DB34B7" w:rsidRPr="00CF4C4E" w:rsidRDefault="00DB34B7" w:rsidP="00CF4C4E">
            <w:pPr>
              <w:jc w:val="center"/>
              <w:rPr>
                <w:b/>
                <w:sz w:val="20"/>
                <w:szCs w:val="20"/>
                <w:lang w:val="en-GB"/>
              </w:rPr>
            </w:pPr>
          </w:p>
        </w:tc>
      </w:tr>
      <w:tr w:rsidR="001254C3" w:rsidRPr="00CF4C4E" w:rsidTr="00DB34B7">
        <w:trPr>
          <w:trHeight w:val="543"/>
        </w:trPr>
        <w:tc>
          <w:tcPr>
            <w:tcW w:w="844" w:type="pct"/>
            <w:tcBorders>
              <w:left w:val="double" w:sz="4" w:space="0" w:color="auto"/>
            </w:tcBorders>
          </w:tcPr>
          <w:p w:rsidR="001254C3" w:rsidRPr="00CF4C4E" w:rsidRDefault="001254C3" w:rsidP="00CF4C4E">
            <w:pPr>
              <w:rPr>
                <w:sz w:val="20"/>
                <w:szCs w:val="20"/>
                <w:lang w:val="en-GB"/>
              </w:rPr>
            </w:pPr>
            <w:r w:rsidRPr="00CF4C4E">
              <w:rPr>
                <w:sz w:val="20"/>
                <w:szCs w:val="20"/>
                <w:lang w:val="en-GB"/>
              </w:rPr>
              <w:t>2.2.1 Amend the Law on Centralised Records of Beneficial Owners and allow the founders of Registered Entities that are being registered (established) electronically with the SBRA to submit an electronic application at the same time and thereby record their beneficial owner in the Centralised Records and develop/improve the software application accordingly.</w:t>
            </w:r>
          </w:p>
        </w:tc>
        <w:tc>
          <w:tcPr>
            <w:tcW w:w="403" w:type="pct"/>
          </w:tcPr>
          <w:p w:rsidR="001254C3" w:rsidRPr="00CF4C4E" w:rsidRDefault="00A9340A" w:rsidP="00CF4C4E">
            <w:pPr>
              <w:rPr>
                <w:sz w:val="20"/>
                <w:szCs w:val="20"/>
                <w:lang w:val="en-GB"/>
              </w:rPr>
            </w:pPr>
            <w:r w:rsidRPr="00CF4C4E">
              <w:rPr>
                <w:sz w:val="20"/>
                <w:szCs w:val="20"/>
                <w:lang w:val="en-GB"/>
              </w:rPr>
              <w:t>MinEcon</w:t>
            </w:r>
          </w:p>
        </w:tc>
        <w:tc>
          <w:tcPr>
            <w:tcW w:w="436" w:type="pct"/>
          </w:tcPr>
          <w:p w:rsidR="001254C3" w:rsidRPr="00CF4C4E" w:rsidRDefault="001254C3" w:rsidP="00CF4C4E">
            <w:pPr>
              <w:rPr>
                <w:sz w:val="20"/>
                <w:szCs w:val="20"/>
                <w:lang w:val="en-GB"/>
              </w:rPr>
            </w:pPr>
            <w:r w:rsidRPr="00CF4C4E">
              <w:rPr>
                <w:sz w:val="20"/>
                <w:szCs w:val="20"/>
                <w:lang w:val="en-GB"/>
              </w:rPr>
              <w:t>Business Registers Agency</w:t>
            </w:r>
          </w:p>
        </w:tc>
        <w:tc>
          <w:tcPr>
            <w:tcW w:w="408" w:type="pct"/>
          </w:tcPr>
          <w:p w:rsidR="001254C3" w:rsidRPr="00CF4C4E" w:rsidRDefault="001254C3" w:rsidP="00CF4C4E">
            <w:pPr>
              <w:rPr>
                <w:color w:val="auto"/>
                <w:sz w:val="20"/>
                <w:szCs w:val="20"/>
                <w:lang w:val="en-GB"/>
              </w:rPr>
            </w:pPr>
            <w:r w:rsidRPr="00CF4C4E">
              <w:rPr>
                <w:color w:val="auto"/>
                <w:sz w:val="20"/>
                <w:szCs w:val="20"/>
                <w:lang w:val="en-GB"/>
              </w:rPr>
              <w:t>IV quarter of 2021</w:t>
            </w:r>
          </w:p>
        </w:tc>
        <w:tc>
          <w:tcPr>
            <w:tcW w:w="553" w:type="pct"/>
          </w:tcPr>
          <w:p w:rsidR="001254C3" w:rsidRPr="00CF4C4E" w:rsidRDefault="001254C3" w:rsidP="00CF4C4E">
            <w:pPr>
              <w:rPr>
                <w:color w:val="auto"/>
                <w:sz w:val="20"/>
                <w:szCs w:val="20"/>
                <w:lang w:val="en-GB"/>
              </w:rPr>
            </w:pPr>
            <w:r w:rsidRPr="00CF4C4E">
              <w:rPr>
                <w:sz w:val="20"/>
                <w:szCs w:val="20"/>
                <w:lang w:val="en-GB"/>
              </w:rPr>
              <w:t>Financing not secured; the source is known</w:t>
            </w:r>
            <w:r w:rsidRPr="00CF4C4E">
              <w:rPr>
                <w:color w:val="auto"/>
                <w:sz w:val="20"/>
                <w:szCs w:val="20"/>
                <w:lang w:val="en-GB"/>
              </w:rPr>
              <w:t xml:space="preserve"> </w:t>
            </w:r>
          </w:p>
        </w:tc>
        <w:tc>
          <w:tcPr>
            <w:tcW w:w="407" w:type="pct"/>
          </w:tcPr>
          <w:p w:rsidR="001254C3" w:rsidRPr="00CF4C4E" w:rsidRDefault="001254C3" w:rsidP="00CF4C4E">
            <w:pPr>
              <w:rPr>
                <w:color w:val="auto"/>
                <w:sz w:val="20"/>
                <w:szCs w:val="20"/>
                <w:lang w:val="en-GB"/>
              </w:rPr>
            </w:pPr>
          </w:p>
        </w:tc>
        <w:tc>
          <w:tcPr>
            <w:tcW w:w="594" w:type="pct"/>
          </w:tcPr>
          <w:p w:rsidR="001254C3" w:rsidRPr="00CF4C4E" w:rsidRDefault="001254C3" w:rsidP="00CF4C4E">
            <w:pPr>
              <w:rPr>
                <w:color w:val="auto"/>
                <w:sz w:val="20"/>
                <w:szCs w:val="20"/>
                <w:lang w:val="en-GB"/>
              </w:rPr>
            </w:pPr>
            <w:r w:rsidRPr="00CF4C4E">
              <w:rPr>
                <w:color w:val="auto"/>
                <w:sz w:val="20"/>
                <w:szCs w:val="20"/>
                <w:lang w:val="en-GB"/>
              </w:rPr>
              <w:t>11.800</w:t>
            </w:r>
          </w:p>
        </w:tc>
        <w:tc>
          <w:tcPr>
            <w:tcW w:w="645" w:type="pct"/>
          </w:tcPr>
          <w:p w:rsidR="001254C3" w:rsidRPr="00CF4C4E" w:rsidRDefault="001254C3" w:rsidP="00CF4C4E">
            <w:pPr>
              <w:rPr>
                <w:color w:val="auto"/>
                <w:sz w:val="20"/>
                <w:szCs w:val="20"/>
                <w:lang w:val="en-GB"/>
              </w:rPr>
            </w:pPr>
          </w:p>
        </w:tc>
        <w:tc>
          <w:tcPr>
            <w:tcW w:w="710" w:type="pct"/>
          </w:tcPr>
          <w:p w:rsidR="001254C3" w:rsidRPr="00CF4C4E" w:rsidRDefault="001254C3" w:rsidP="00CF4C4E">
            <w:pPr>
              <w:rPr>
                <w:color w:val="auto"/>
                <w:sz w:val="20"/>
                <w:szCs w:val="20"/>
                <w:lang w:val="en-GB"/>
              </w:rPr>
            </w:pPr>
          </w:p>
        </w:tc>
      </w:tr>
      <w:tr w:rsidR="001254C3" w:rsidRPr="00CF4C4E" w:rsidTr="00DB34B7">
        <w:trPr>
          <w:trHeight w:val="543"/>
        </w:trPr>
        <w:tc>
          <w:tcPr>
            <w:tcW w:w="844" w:type="pct"/>
            <w:tcBorders>
              <w:left w:val="double" w:sz="4" w:space="0" w:color="auto"/>
            </w:tcBorders>
          </w:tcPr>
          <w:p w:rsidR="001254C3" w:rsidRPr="00CF4C4E" w:rsidRDefault="001254C3" w:rsidP="00CF4C4E">
            <w:pPr>
              <w:rPr>
                <w:sz w:val="20"/>
                <w:szCs w:val="20"/>
                <w:lang w:val="en-GB"/>
              </w:rPr>
            </w:pPr>
            <w:r w:rsidRPr="00CF4C4E">
              <w:rPr>
                <w:sz w:val="20"/>
                <w:szCs w:val="20"/>
                <w:lang w:val="en-GB"/>
              </w:rPr>
              <w:t xml:space="preserve">2.2.2. Amend the Law on Centralised Records of Beneficial Owners to improve the content of the Centralised Records (introduce an obligation to record the Registered Entity’s beneficial owner on each of the basis; to upload the documents and ownership structure charts into the Centralised Records) and </w:t>
            </w:r>
            <w:r w:rsidRPr="00CF4C4E">
              <w:rPr>
                <w:sz w:val="20"/>
                <w:szCs w:val="20"/>
                <w:lang w:val="en-GB"/>
              </w:rPr>
              <w:lastRenderedPageBreak/>
              <w:t>develop/improve the software application accordingly.</w:t>
            </w:r>
          </w:p>
        </w:tc>
        <w:tc>
          <w:tcPr>
            <w:tcW w:w="403" w:type="pct"/>
          </w:tcPr>
          <w:p w:rsidR="001254C3" w:rsidRPr="00CF4C4E" w:rsidRDefault="00A9340A" w:rsidP="00CF4C4E">
            <w:pPr>
              <w:rPr>
                <w:sz w:val="20"/>
                <w:szCs w:val="20"/>
                <w:lang w:val="en-GB"/>
              </w:rPr>
            </w:pPr>
            <w:r w:rsidRPr="00CF4C4E">
              <w:rPr>
                <w:sz w:val="20"/>
                <w:szCs w:val="20"/>
                <w:lang w:val="en-GB"/>
              </w:rPr>
              <w:lastRenderedPageBreak/>
              <w:t>MinEcon</w:t>
            </w:r>
          </w:p>
        </w:tc>
        <w:tc>
          <w:tcPr>
            <w:tcW w:w="436" w:type="pct"/>
          </w:tcPr>
          <w:p w:rsidR="001254C3" w:rsidRPr="00CF4C4E" w:rsidRDefault="001254C3" w:rsidP="00CF4C4E">
            <w:pPr>
              <w:rPr>
                <w:sz w:val="20"/>
                <w:szCs w:val="20"/>
                <w:lang w:val="en-GB"/>
              </w:rPr>
            </w:pPr>
            <w:r w:rsidRPr="00CF4C4E">
              <w:rPr>
                <w:sz w:val="20"/>
                <w:szCs w:val="20"/>
                <w:lang w:val="en-GB"/>
              </w:rPr>
              <w:t>Business Registers Agency</w:t>
            </w:r>
          </w:p>
        </w:tc>
        <w:tc>
          <w:tcPr>
            <w:tcW w:w="408" w:type="pct"/>
          </w:tcPr>
          <w:p w:rsidR="001254C3" w:rsidRPr="00CF4C4E" w:rsidRDefault="00692B78" w:rsidP="00CF4C4E">
            <w:pPr>
              <w:rPr>
                <w:color w:val="auto"/>
                <w:sz w:val="20"/>
                <w:szCs w:val="20"/>
                <w:lang w:val="en-GB"/>
              </w:rPr>
            </w:pPr>
            <w:r w:rsidRPr="00CF4C4E">
              <w:rPr>
                <w:color w:val="auto"/>
                <w:sz w:val="20"/>
                <w:szCs w:val="20"/>
                <w:lang w:val="en-GB"/>
              </w:rPr>
              <w:t>IV quarter of 2022</w:t>
            </w:r>
          </w:p>
          <w:p w:rsidR="001254C3" w:rsidRPr="00CF4C4E" w:rsidRDefault="001254C3" w:rsidP="00CF4C4E">
            <w:pPr>
              <w:rPr>
                <w:color w:val="auto"/>
                <w:sz w:val="20"/>
                <w:szCs w:val="20"/>
                <w:lang w:val="en-GB"/>
              </w:rPr>
            </w:pPr>
          </w:p>
        </w:tc>
        <w:tc>
          <w:tcPr>
            <w:tcW w:w="553" w:type="pct"/>
          </w:tcPr>
          <w:p w:rsidR="001254C3" w:rsidRPr="00CF4C4E" w:rsidRDefault="001254C3" w:rsidP="00CF4C4E">
            <w:pPr>
              <w:rPr>
                <w:color w:val="auto"/>
                <w:sz w:val="20"/>
                <w:szCs w:val="20"/>
                <w:lang w:val="en-GB"/>
              </w:rPr>
            </w:pPr>
            <w:r w:rsidRPr="00CF4C4E">
              <w:rPr>
                <w:sz w:val="20"/>
                <w:szCs w:val="20"/>
                <w:lang w:val="en-GB"/>
              </w:rPr>
              <w:t>Financing not secured; the source is known</w:t>
            </w:r>
          </w:p>
        </w:tc>
        <w:tc>
          <w:tcPr>
            <w:tcW w:w="407" w:type="pct"/>
          </w:tcPr>
          <w:p w:rsidR="001254C3" w:rsidRPr="00CF4C4E" w:rsidRDefault="001254C3" w:rsidP="00CF4C4E">
            <w:pPr>
              <w:rPr>
                <w:color w:val="auto"/>
                <w:sz w:val="20"/>
                <w:szCs w:val="20"/>
                <w:lang w:val="en-GB"/>
              </w:rPr>
            </w:pPr>
          </w:p>
        </w:tc>
        <w:tc>
          <w:tcPr>
            <w:tcW w:w="594" w:type="pct"/>
          </w:tcPr>
          <w:p w:rsidR="001254C3" w:rsidRPr="00CF4C4E" w:rsidRDefault="001254C3" w:rsidP="00CF4C4E">
            <w:pPr>
              <w:rPr>
                <w:color w:val="auto"/>
                <w:sz w:val="20"/>
                <w:szCs w:val="20"/>
                <w:lang w:val="en-GB"/>
              </w:rPr>
            </w:pPr>
          </w:p>
        </w:tc>
        <w:tc>
          <w:tcPr>
            <w:tcW w:w="645" w:type="pct"/>
          </w:tcPr>
          <w:p w:rsidR="001254C3" w:rsidRPr="00CF4C4E" w:rsidRDefault="005C5D8A" w:rsidP="00CF4C4E">
            <w:pPr>
              <w:rPr>
                <w:color w:val="auto"/>
                <w:sz w:val="20"/>
                <w:szCs w:val="20"/>
                <w:lang w:val="en-GB"/>
              </w:rPr>
            </w:pPr>
            <w:r w:rsidRPr="00CF4C4E">
              <w:rPr>
                <w:color w:val="auto"/>
                <w:sz w:val="20"/>
                <w:szCs w:val="20"/>
                <w:lang w:val="en-GB"/>
              </w:rPr>
              <w:t>17.700</w:t>
            </w:r>
          </w:p>
        </w:tc>
        <w:tc>
          <w:tcPr>
            <w:tcW w:w="710" w:type="pct"/>
          </w:tcPr>
          <w:p w:rsidR="001254C3" w:rsidRPr="00CF4C4E" w:rsidRDefault="001254C3" w:rsidP="00CF4C4E">
            <w:pPr>
              <w:rPr>
                <w:color w:val="auto"/>
                <w:sz w:val="20"/>
                <w:szCs w:val="20"/>
                <w:lang w:val="en-GB"/>
              </w:rPr>
            </w:pPr>
          </w:p>
        </w:tc>
      </w:tr>
      <w:tr w:rsidR="000F0BD0" w:rsidRPr="00CF4C4E" w:rsidTr="00CF4C4E">
        <w:trPr>
          <w:trHeight w:val="504"/>
        </w:trPr>
        <w:tc>
          <w:tcPr>
            <w:tcW w:w="844" w:type="pct"/>
            <w:tcBorders>
              <w:left w:val="double" w:sz="4" w:space="0" w:color="auto"/>
            </w:tcBorders>
          </w:tcPr>
          <w:p w:rsidR="000F0BD0" w:rsidRPr="00CF4C4E" w:rsidRDefault="000F0BD0" w:rsidP="00CF4C4E">
            <w:pPr>
              <w:rPr>
                <w:sz w:val="20"/>
                <w:szCs w:val="20"/>
                <w:lang w:val="en-GB"/>
              </w:rPr>
            </w:pPr>
            <w:r w:rsidRPr="00CF4C4E">
              <w:rPr>
                <w:sz w:val="20"/>
                <w:szCs w:val="20"/>
                <w:lang w:val="en-GB"/>
              </w:rPr>
              <w:lastRenderedPageBreak/>
              <w:t>2.2.3 Amendments to the Rulebook on the methodology to comply with the AML/CFT Law and NRA results, especially with respect to the application of simplified and enhanced CDD</w:t>
            </w:r>
          </w:p>
        </w:tc>
        <w:tc>
          <w:tcPr>
            <w:tcW w:w="403" w:type="pct"/>
          </w:tcPr>
          <w:p w:rsidR="000F0BD0" w:rsidRPr="00CF4C4E" w:rsidRDefault="006C303F" w:rsidP="00CF4C4E">
            <w:pPr>
              <w:rPr>
                <w:sz w:val="20"/>
                <w:szCs w:val="20"/>
                <w:lang w:val="en-GB"/>
              </w:rPr>
            </w:pPr>
            <w:r w:rsidRPr="00CF4C4E">
              <w:rPr>
                <w:sz w:val="20"/>
                <w:szCs w:val="20"/>
                <w:lang w:val="en-GB"/>
              </w:rPr>
              <w:t>MoF</w:t>
            </w:r>
          </w:p>
        </w:tc>
        <w:tc>
          <w:tcPr>
            <w:tcW w:w="436" w:type="pct"/>
          </w:tcPr>
          <w:p w:rsidR="000F0BD0" w:rsidRPr="00CF4C4E" w:rsidRDefault="000F0BD0" w:rsidP="00CF4C4E">
            <w:pPr>
              <w:rPr>
                <w:sz w:val="20"/>
                <w:szCs w:val="20"/>
                <w:lang w:val="en-GB"/>
              </w:rPr>
            </w:pPr>
            <w:r w:rsidRPr="00CF4C4E">
              <w:rPr>
                <w:sz w:val="20"/>
                <w:szCs w:val="20"/>
                <w:lang w:val="en-GB"/>
              </w:rPr>
              <w:t xml:space="preserve">Supervisory authorities </w:t>
            </w:r>
          </w:p>
        </w:tc>
        <w:tc>
          <w:tcPr>
            <w:tcW w:w="408" w:type="pct"/>
          </w:tcPr>
          <w:p w:rsidR="000F0BD0" w:rsidRPr="00CF4C4E" w:rsidRDefault="000F0BD0" w:rsidP="00CF4C4E">
            <w:pPr>
              <w:rPr>
                <w:sz w:val="20"/>
                <w:szCs w:val="20"/>
                <w:lang w:val="en-GB"/>
              </w:rPr>
            </w:pPr>
            <w:r w:rsidRPr="00CF4C4E">
              <w:rPr>
                <w:sz w:val="20"/>
                <w:szCs w:val="20"/>
                <w:lang w:val="en-GB"/>
              </w:rPr>
              <w:t>April 2020</w:t>
            </w:r>
          </w:p>
        </w:tc>
        <w:tc>
          <w:tcPr>
            <w:tcW w:w="553" w:type="pct"/>
          </w:tcPr>
          <w:p w:rsidR="000F0BD0" w:rsidRPr="00CF4C4E" w:rsidRDefault="000F0BD0" w:rsidP="00CF4C4E">
            <w:pPr>
              <w:rPr>
                <w:sz w:val="20"/>
                <w:szCs w:val="20"/>
                <w:lang w:val="en-GB"/>
              </w:rPr>
            </w:pPr>
            <w:r w:rsidRPr="00CF4C4E">
              <w:rPr>
                <w:sz w:val="20"/>
                <w:szCs w:val="20"/>
                <w:lang w:val="en-GB"/>
              </w:rPr>
              <w:t>Financed as part of regular activities of staff</w:t>
            </w:r>
          </w:p>
        </w:tc>
        <w:tc>
          <w:tcPr>
            <w:tcW w:w="407" w:type="pct"/>
          </w:tcPr>
          <w:p w:rsidR="000F0BD0" w:rsidRPr="00CF4C4E" w:rsidRDefault="000F0BD0" w:rsidP="00CF4C4E">
            <w:pPr>
              <w:rPr>
                <w:sz w:val="20"/>
                <w:szCs w:val="20"/>
                <w:lang w:val="en-GB"/>
              </w:rPr>
            </w:pPr>
          </w:p>
        </w:tc>
        <w:tc>
          <w:tcPr>
            <w:tcW w:w="594" w:type="pct"/>
          </w:tcPr>
          <w:p w:rsidR="000F0BD0" w:rsidRPr="00CF4C4E" w:rsidRDefault="000F0BD0" w:rsidP="00CF4C4E">
            <w:pPr>
              <w:rPr>
                <w:sz w:val="20"/>
                <w:szCs w:val="20"/>
                <w:lang w:val="en-GB"/>
              </w:rPr>
            </w:pPr>
          </w:p>
        </w:tc>
        <w:tc>
          <w:tcPr>
            <w:tcW w:w="645" w:type="pct"/>
          </w:tcPr>
          <w:p w:rsidR="000F0BD0" w:rsidRPr="00CF4C4E" w:rsidRDefault="000F0BD0" w:rsidP="00CF4C4E">
            <w:pPr>
              <w:rPr>
                <w:sz w:val="20"/>
                <w:szCs w:val="20"/>
                <w:lang w:val="en-GB"/>
              </w:rPr>
            </w:pPr>
          </w:p>
        </w:tc>
        <w:tc>
          <w:tcPr>
            <w:tcW w:w="710" w:type="pct"/>
          </w:tcPr>
          <w:p w:rsidR="000F0BD0" w:rsidRPr="00CF4C4E" w:rsidRDefault="000F0BD0" w:rsidP="00CF4C4E">
            <w:pPr>
              <w:rPr>
                <w:sz w:val="20"/>
                <w:szCs w:val="20"/>
                <w:lang w:val="en-GB"/>
              </w:rPr>
            </w:pPr>
          </w:p>
        </w:tc>
      </w:tr>
      <w:tr w:rsidR="000F0BD0" w:rsidRPr="00CF4C4E" w:rsidTr="00CF4C4E">
        <w:trPr>
          <w:trHeight w:val="220"/>
        </w:trPr>
        <w:tc>
          <w:tcPr>
            <w:tcW w:w="844" w:type="pct"/>
            <w:tcBorders>
              <w:left w:val="double" w:sz="4" w:space="0" w:color="auto"/>
            </w:tcBorders>
          </w:tcPr>
          <w:p w:rsidR="000F0BD0" w:rsidRPr="00CF4C4E" w:rsidRDefault="000F0BD0" w:rsidP="00CF4C4E">
            <w:pPr>
              <w:rPr>
                <w:sz w:val="20"/>
                <w:szCs w:val="20"/>
                <w:lang w:val="en-GB"/>
              </w:rPr>
            </w:pPr>
            <w:r w:rsidRPr="00CF4C4E">
              <w:rPr>
                <w:sz w:val="20"/>
                <w:szCs w:val="20"/>
                <w:lang w:val="en-GB"/>
              </w:rPr>
              <w:t>2.2.4. Draft regulations (ML/TF risk assessment guidelines and SAR indicators) for persons engaging in postal communications</w:t>
            </w:r>
          </w:p>
        </w:tc>
        <w:tc>
          <w:tcPr>
            <w:tcW w:w="403" w:type="pct"/>
          </w:tcPr>
          <w:p w:rsidR="000F0BD0" w:rsidRPr="00CF4C4E" w:rsidRDefault="000F0BD0" w:rsidP="00CF4C4E">
            <w:pPr>
              <w:rPr>
                <w:sz w:val="20"/>
                <w:szCs w:val="20"/>
                <w:lang w:val="en-GB"/>
              </w:rPr>
            </w:pPr>
            <w:r w:rsidRPr="00CF4C4E">
              <w:rPr>
                <w:sz w:val="20"/>
                <w:szCs w:val="20"/>
                <w:lang w:val="en-GB"/>
              </w:rPr>
              <w:t>MTTT - Team for supervision of postal communication</w:t>
            </w:r>
          </w:p>
        </w:tc>
        <w:tc>
          <w:tcPr>
            <w:tcW w:w="436" w:type="pct"/>
          </w:tcPr>
          <w:p w:rsidR="000F0BD0" w:rsidRPr="00CF4C4E" w:rsidRDefault="000F0BD0" w:rsidP="00CF4C4E">
            <w:pPr>
              <w:rPr>
                <w:sz w:val="20"/>
                <w:szCs w:val="20"/>
                <w:lang w:val="en-GB"/>
              </w:rPr>
            </w:pPr>
            <w:r w:rsidRPr="00CF4C4E">
              <w:rPr>
                <w:sz w:val="20"/>
                <w:szCs w:val="20"/>
                <w:lang w:val="en-GB"/>
              </w:rPr>
              <w:t>APML</w:t>
            </w:r>
          </w:p>
        </w:tc>
        <w:tc>
          <w:tcPr>
            <w:tcW w:w="408" w:type="pct"/>
          </w:tcPr>
          <w:p w:rsidR="000F0BD0" w:rsidRPr="00CF4C4E" w:rsidRDefault="000F0BD0" w:rsidP="00CF4C4E">
            <w:pPr>
              <w:rPr>
                <w:sz w:val="20"/>
                <w:szCs w:val="20"/>
                <w:lang w:val="en-GB"/>
              </w:rPr>
            </w:pPr>
            <w:r w:rsidRPr="00CF4C4E">
              <w:rPr>
                <w:sz w:val="20"/>
                <w:szCs w:val="20"/>
                <w:lang w:val="en-GB"/>
              </w:rPr>
              <w:t>April 2020</w:t>
            </w:r>
          </w:p>
        </w:tc>
        <w:tc>
          <w:tcPr>
            <w:tcW w:w="553" w:type="pct"/>
          </w:tcPr>
          <w:p w:rsidR="000F0BD0" w:rsidRPr="00CF4C4E" w:rsidRDefault="000F0BD0" w:rsidP="00CF4C4E">
            <w:pPr>
              <w:rPr>
                <w:sz w:val="20"/>
                <w:szCs w:val="20"/>
                <w:lang w:val="en-GB"/>
              </w:rPr>
            </w:pPr>
            <w:r w:rsidRPr="00CF4C4E">
              <w:rPr>
                <w:sz w:val="20"/>
                <w:szCs w:val="20"/>
                <w:lang w:val="en-GB"/>
              </w:rPr>
              <w:t>Financed as part of regular activities of staff</w:t>
            </w:r>
          </w:p>
        </w:tc>
        <w:tc>
          <w:tcPr>
            <w:tcW w:w="407" w:type="pct"/>
          </w:tcPr>
          <w:p w:rsidR="000F0BD0" w:rsidRPr="00CF4C4E" w:rsidRDefault="000F0BD0" w:rsidP="00CF4C4E">
            <w:pPr>
              <w:rPr>
                <w:sz w:val="20"/>
                <w:szCs w:val="20"/>
                <w:lang w:val="en-GB"/>
              </w:rPr>
            </w:pPr>
          </w:p>
        </w:tc>
        <w:tc>
          <w:tcPr>
            <w:tcW w:w="594" w:type="pct"/>
          </w:tcPr>
          <w:p w:rsidR="000F0BD0" w:rsidRPr="00CF4C4E" w:rsidRDefault="000F0BD0" w:rsidP="00CF4C4E">
            <w:pPr>
              <w:rPr>
                <w:sz w:val="20"/>
                <w:szCs w:val="20"/>
                <w:lang w:val="en-GB"/>
              </w:rPr>
            </w:pPr>
          </w:p>
        </w:tc>
        <w:tc>
          <w:tcPr>
            <w:tcW w:w="645" w:type="pct"/>
          </w:tcPr>
          <w:p w:rsidR="000F0BD0" w:rsidRPr="00CF4C4E" w:rsidRDefault="000F0BD0" w:rsidP="00CF4C4E">
            <w:pPr>
              <w:rPr>
                <w:sz w:val="20"/>
                <w:szCs w:val="20"/>
                <w:lang w:val="en-GB"/>
              </w:rPr>
            </w:pPr>
          </w:p>
        </w:tc>
        <w:tc>
          <w:tcPr>
            <w:tcW w:w="710" w:type="pct"/>
          </w:tcPr>
          <w:p w:rsidR="000F0BD0" w:rsidRPr="00CF4C4E" w:rsidRDefault="000F0BD0" w:rsidP="00CF4C4E">
            <w:pPr>
              <w:rPr>
                <w:sz w:val="20"/>
                <w:szCs w:val="20"/>
                <w:lang w:val="en-GB"/>
              </w:rPr>
            </w:pPr>
          </w:p>
        </w:tc>
      </w:tr>
      <w:tr w:rsidR="000F0BD0" w:rsidRPr="00CF4C4E" w:rsidTr="00DB34B7">
        <w:trPr>
          <w:trHeight w:val="543"/>
        </w:trPr>
        <w:tc>
          <w:tcPr>
            <w:tcW w:w="844" w:type="pct"/>
            <w:tcBorders>
              <w:left w:val="double" w:sz="4" w:space="0" w:color="auto"/>
            </w:tcBorders>
          </w:tcPr>
          <w:p w:rsidR="000F0BD0" w:rsidRPr="00CF4C4E" w:rsidRDefault="000F0BD0" w:rsidP="00CF4C4E">
            <w:pPr>
              <w:rPr>
                <w:sz w:val="20"/>
                <w:szCs w:val="20"/>
                <w:lang w:val="en-GB"/>
              </w:rPr>
            </w:pPr>
            <w:r w:rsidRPr="00CF4C4E">
              <w:rPr>
                <w:sz w:val="20"/>
                <w:szCs w:val="20"/>
                <w:lang w:val="en-GB"/>
              </w:rPr>
              <w:t>2.2.5. Develop or improve questionnaires on activities of obliged entities in relation to asset freezing with the aim to prevent terrorism and proliferation of weapons of mass destruction</w:t>
            </w:r>
          </w:p>
        </w:tc>
        <w:tc>
          <w:tcPr>
            <w:tcW w:w="403" w:type="pct"/>
          </w:tcPr>
          <w:p w:rsidR="000F0BD0" w:rsidRPr="00CF4C4E" w:rsidRDefault="000F0BD0" w:rsidP="00CF4C4E">
            <w:pPr>
              <w:rPr>
                <w:sz w:val="20"/>
                <w:szCs w:val="20"/>
                <w:lang w:val="en-GB"/>
              </w:rPr>
            </w:pPr>
            <w:r w:rsidRPr="00CF4C4E">
              <w:rPr>
                <w:sz w:val="20"/>
                <w:szCs w:val="20"/>
                <w:lang w:val="en-GB"/>
              </w:rPr>
              <w:t>APML</w:t>
            </w:r>
          </w:p>
        </w:tc>
        <w:tc>
          <w:tcPr>
            <w:tcW w:w="436" w:type="pct"/>
          </w:tcPr>
          <w:p w:rsidR="000F0BD0" w:rsidRPr="00CF4C4E" w:rsidRDefault="000F0BD0" w:rsidP="00CF4C4E">
            <w:pPr>
              <w:rPr>
                <w:sz w:val="20"/>
                <w:szCs w:val="20"/>
                <w:lang w:val="en-GB"/>
              </w:rPr>
            </w:pPr>
            <w:r w:rsidRPr="00CF4C4E">
              <w:rPr>
                <w:sz w:val="20"/>
                <w:szCs w:val="20"/>
                <w:lang w:val="en-GB"/>
              </w:rPr>
              <w:t>Supervisory authorities</w:t>
            </w:r>
          </w:p>
        </w:tc>
        <w:tc>
          <w:tcPr>
            <w:tcW w:w="408" w:type="pct"/>
          </w:tcPr>
          <w:p w:rsidR="000F0BD0" w:rsidRPr="00CF4C4E" w:rsidRDefault="000F0BD0" w:rsidP="00CF4C4E">
            <w:pPr>
              <w:rPr>
                <w:sz w:val="20"/>
                <w:szCs w:val="20"/>
                <w:lang w:val="en-GB"/>
              </w:rPr>
            </w:pPr>
            <w:r w:rsidRPr="00CF4C4E">
              <w:rPr>
                <w:sz w:val="20"/>
                <w:szCs w:val="20"/>
                <w:lang w:val="en-GB"/>
              </w:rPr>
              <w:t>IV quarter of 2022 (continuous activity)</w:t>
            </w:r>
          </w:p>
        </w:tc>
        <w:tc>
          <w:tcPr>
            <w:tcW w:w="553" w:type="pct"/>
          </w:tcPr>
          <w:p w:rsidR="000F0BD0" w:rsidRPr="00CF4C4E" w:rsidRDefault="000F0BD0" w:rsidP="00CF4C4E">
            <w:pPr>
              <w:rPr>
                <w:sz w:val="20"/>
                <w:szCs w:val="20"/>
                <w:lang w:val="en-GB"/>
              </w:rPr>
            </w:pPr>
            <w:r w:rsidRPr="00CF4C4E">
              <w:rPr>
                <w:sz w:val="20"/>
                <w:szCs w:val="20"/>
                <w:lang w:val="en-GB"/>
              </w:rPr>
              <w:t>Financed as part of regular activities of staff</w:t>
            </w:r>
          </w:p>
        </w:tc>
        <w:tc>
          <w:tcPr>
            <w:tcW w:w="407" w:type="pct"/>
          </w:tcPr>
          <w:p w:rsidR="000F0BD0" w:rsidRPr="00CF4C4E" w:rsidRDefault="000F0BD0" w:rsidP="00CF4C4E">
            <w:pPr>
              <w:rPr>
                <w:sz w:val="20"/>
                <w:szCs w:val="20"/>
                <w:lang w:val="en-GB"/>
              </w:rPr>
            </w:pPr>
          </w:p>
        </w:tc>
        <w:tc>
          <w:tcPr>
            <w:tcW w:w="594" w:type="pct"/>
          </w:tcPr>
          <w:p w:rsidR="000F0BD0" w:rsidRPr="00CF4C4E" w:rsidRDefault="000F0BD0" w:rsidP="00CF4C4E">
            <w:pPr>
              <w:rPr>
                <w:sz w:val="20"/>
                <w:szCs w:val="20"/>
                <w:lang w:val="en-GB"/>
              </w:rPr>
            </w:pPr>
          </w:p>
        </w:tc>
        <w:tc>
          <w:tcPr>
            <w:tcW w:w="645" w:type="pct"/>
          </w:tcPr>
          <w:p w:rsidR="000F0BD0" w:rsidRPr="00CF4C4E" w:rsidRDefault="000F0BD0" w:rsidP="00CF4C4E">
            <w:pPr>
              <w:rPr>
                <w:sz w:val="20"/>
                <w:szCs w:val="20"/>
                <w:lang w:val="en-GB"/>
              </w:rPr>
            </w:pPr>
          </w:p>
        </w:tc>
        <w:tc>
          <w:tcPr>
            <w:tcW w:w="710" w:type="pct"/>
          </w:tcPr>
          <w:p w:rsidR="000F0BD0" w:rsidRPr="00CF4C4E" w:rsidRDefault="000F0BD0" w:rsidP="00CF4C4E">
            <w:pPr>
              <w:rPr>
                <w:sz w:val="20"/>
                <w:szCs w:val="20"/>
                <w:lang w:val="en-GB"/>
              </w:rPr>
            </w:pPr>
          </w:p>
        </w:tc>
      </w:tr>
      <w:tr w:rsidR="000F0BD0" w:rsidRPr="00CF4C4E" w:rsidTr="00DB34B7">
        <w:trPr>
          <w:trHeight w:val="1579"/>
        </w:trPr>
        <w:tc>
          <w:tcPr>
            <w:tcW w:w="844" w:type="pct"/>
            <w:tcBorders>
              <w:left w:val="double" w:sz="4" w:space="0" w:color="auto"/>
            </w:tcBorders>
          </w:tcPr>
          <w:p w:rsidR="00E31352" w:rsidRPr="00CF4C4E" w:rsidRDefault="000F0BD0" w:rsidP="00CF4C4E">
            <w:pPr>
              <w:rPr>
                <w:sz w:val="20"/>
                <w:szCs w:val="20"/>
                <w:lang w:val="en-GB"/>
              </w:rPr>
            </w:pPr>
            <w:r w:rsidRPr="00CF4C4E">
              <w:rPr>
                <w:sz w:val="20"/>
                <w:szCs w:val="20"/>
                <w:lang w:val="en-GB"/>
              </w:rPr>
              <w:t xml:space="preserve">2.2.6. Conduct analyses of the methods and frequency of use of the data recorded in the Centralised Records of Beneficial Owners and their effectiveness for the operation of all AML/CFT </w:t>
            </w:r>
            <w:r w:rsidRPr="00CF4C4E">
              <w:rPr>
                <w:sz w:val="20"/>
                <w:szCs w:val="20"/>
                <w:lang w:val="en-GB"/>
              </w:rPr>
              <w:lastRenderedPageBreak/>
              <w:t>stakeholders (obliged entities, APML, police, prosecutors, etc.)</w:t>
            </w:r>
          </w:p>
        </w:tc>
        <w:tc>
          <w:tcPr>
            <w:tcW w:w="403" w:type="pct"/>
          </w:tcPr>
          <w:p w:rsidR="000F0BD0" w:rsidRPr="00CF4C4E" w:rsidRDefault="00A9340A" w:rsidP="00CF4C4E">
            <w:pPr>
              <w:rPr>
                <w:sz w:val="20"/>
                <w:szCs w:val="20"/>
                <w:lang w:val="en-GB"/>
              </w:rPr>
            </w:pPr>
            <w:r w:rsidRPr="00CF4C4E">
              <w:rPr>
                <w:sz w:val="20"/>
                <w:szCs w:val="20"/>
                <w:lang w:val="en-GB"/>
              </w:rPr>
              <w:lastRenderedPageBreak/>
              <w:t>AML/CFT CB</w:t>
            </w:r>
          </w:p>
        </w:tc>
        <w:tc>
          <w:tcPr>
            <w:tcW w:w="436" w:type="pct"/>
          </w:tcPr>
          <w:p w:rsidR="000F0BD0" w:rsidRPr="00CF4C4E" w:rsidRDefault="000F0BD0" w:rsidP="00CF4C4E">
            <w:pPr>
              <w:rPr>
                <w:sz w:val="20"/>
                <w:szCs w:val="20"/>
                <w:lang w:val="en-GB"/>
              </w:rPr>
            </w:pPr>
            <w:r w:rsidRPr="00CF4C4E">
              <w:rPr>
                <w:sz w:val="20"/>
                <w:szCs w:val="20"/>
                <w:lang w:val="en-GB"/>
              </w:rPr>
              <w:t xml:space="preserve">SBRA, supervisory authorities </w:t>
            </w:r>
          </w:p>
        </w:tc>
        <w:tc>
          <w:tcPr>
            <w:tcW w:w="408" w:type="pct"/>
          </w:tcPr>
          <w:p w:rsidR="00DA0EC2" w:rsidRPr="00CF4C4E" w:rsidRDefault="000F0BD0" w:rsidP="00CF4C4E">
            <w:pPr>
              <w:rPr>
                <w:sz w:val="20"/>
                <w:szCs w:val="20"/>
                <w:lang w:val="en-GB"/>
              </w:rPr>
            </w:pPr>
            <w:r w:rsidRPr="00CF4C4E">
              <w:rPr>
                <w:sz w:val="20"/>
                <w:szCs w:val="20"/>
                <w:lang w:val="en-GB"/>
              </w:rPr>
              <w:t xml:space="preserve">IV quarter of 2022 </w:t>
            </w:r>
          </w:p>
          <w:p w:rsidR="00DA0EC2" w:rsidRPr="00CF4C4E" w:rsidRDefault="00DA0EC2" w:rsidP="00CF4C4E">
            <w:pPr>
              <w:rPr>
                <w:sz w:val="20"/>
                <w:szCs w:val="20"/>
                <w:lang w:val="en-GB"/>
              </w:rPr>
            </w:pPr>
          </w:p>
          <w:p w:rsidR="00DA0EC2" w:rsidRPr="00CF4C4E" w:rsidRDefault="00DA0EC2" w:rsidP="00CF4C4E">
            <w:pPr>
              <w:rPr>
                <w:sz w:val="20"/>
                <w:szCs w:val="20"/>
                <w:lang w:val="en-GB"/>
              </w:rPr>
            </w:pPr>
          </w:p>
          <w:p w:rsidR="000F0BD0" w:rsidRPr="00CF4C4E" w:rsidRDefault="000F0BD0" w:rsidP="00CF4C4E">
            <w:pPr>
              <w:rPr>
                <w:sz w:val="20"/>
                <w:szCs w:val="20"/>
                <w:lang w:val="en-GB"/>
              </w:rPr>
            </w:pPr>
            <w:r w:rsidRPr="00CF4C4E">
              <w:rPr>
                <w:sz w:val="20"/>
                <w:szCs w:val="20"/>
                <w:lang w:val="en-GB"/>
              </w:rPr>
              <w:t>Continuous activity</w:t>
            </w:r>
          </w:p>
        </w:tc>
        <w:tc>
          <w:tcPr>
            <w:tcW w:w="553" w:type="pct"/>
          </w:tcPr>
          <w:p w:rsidR="000F0BD0" w:rsidRPr="00CF4C4E" w:rsidRDefault="000F0BD0" w:rsidP="00CF4C4E">
            <w:pPr>
              <w:rPr>
                <w:sz w:val="20"/>
                <w:szCs w:val="20"/>
                <w:lang w:val="en-GB"/>
              </w:rPr>
            </w:pPr>
            <w:r w:rsidRPr="00CF4C4E">
              <w:rPr>
                <w:sz w:val="20"/>
                <w:szCs w:val="20"/>
                <w:lang w:val="en-GB"/>
              </w:rPr>
              <w:t>Financed as part of regular activities of staff</w:t>
            </w:r>
          </w:p>
        </w:tc>
        <w:tc>
          <w:tcPr>
            <w:tcW w:w="407" w:type="pct"/>
          </w:tcPr>
          <w:p w:rsidR="000F0BD0" w:rsidRPr="00CF4C4E" w:rsidRDefault="000F0BD0" w:rsidP="00CF4C4E">
            <w:pPr>
              <w:rPr>
                <w:sz w:val="20"/>
                <w:szCs w:val="20"/>
                <w:lang w:val="en-GB"/>
              </w:rPr>
            </w:pPr>
          </w:p>
        </w:tc>
        <w:tc>
          <w:tcPr>
            <w:tcW w:w="594" w:type="pct"/>
          </w:tcPr>
          <w:p w:rsidR="000F0BD0" w:rsidRPr="00CF4C4E" w:rsidRDefault="000F0BD0" w:rsidP="00CF4C4E">
            <w:pPr>
              <w:rPr>
                <w:sz w:val="20"/>
                <w:szCs w:val="20"/>
                <w:lang w:val="en-GB"/>
              </w:rPr>
            </w:pPr>
          </w:p>
        </w:tc>
        <w:tc>
          <w:tcPr>
            <w:tcW w:w="645" w:type="pct"/>
          </w:tcPr>
          <w:p w:rsidR="000F0BD0" w:rsidRPr="00CF4C4E" w:rsidRDefault="000F0BD0" w:rsidP="00CF4C4E">
            <w:pPr>
              <w:rPr>
                <w:sz w:val="20"/>
                <w:szCs w:val="20"/>
                <w:lang w:val="en-GB"/>
              </w:rPr>
            </w:pPr>
          </w:p>
        </w:tc>
        <w:tc>
          <w:tcPr>
            <w:tcW w:w="710" w:type="pct"/>
          </w:tcPr>
          <w:p w:rsidR="000F0BD0" w:rsidRPr="00CF4C4E" w:rsidRDefault="000F0BD0" w:rsidP="00CF4C4E">
            <w:pPr>
              <w:rPr>
                <w:sz w:val="20"/>
                <w:szCs w:val="20"/>
                <w:lang w:val="en-GB"/>
              </w:rPr>
            </w:pPr>
          </w:p>
        </w:tc>
      </w:tr>
      <w:tr w:rsidR="005B03E9" w:rsidRPr="00CF4C4E" w:rsidTr="00CF4C4E">
        <w:trPr>
          <w:trHeight w:val="889"/>
        </w:trPr>
        <w:tc>
          <w:tcPr>
            <w:tcW w:w="844" w:type="pct"/>
            <w:tcBorders>
              <w:left w:val="double" w:sz="4" w:space="0" w:color="auto"/>
            </w:tcBorders>
          </w:tcPr>
          <w:p w:rsidR="005B03E9" w:rsidRPr="00CF4C4E" w:rsidRDefault="005B03E9" w:rsidP="00CF4C4E">
            <w:pPr>
              <w:rPr>
                <w:sz w:val="20"/>
                <w:szCs w:val="20"/>
                <w:lang w:val="en-GB"/>
              </w:rPr>
            </w:pPr>
            <w:r w:rsidRPr="00CF4C4E">
              <w:rPr>
                <w:sz w:val="20"/>
                <w:szCs w:val="20"/>
                <w:lang w:val="en-GB"/>
              </w:rPr>
              <w:lastRenderedPageBreak/>
              <w:t xml:space="preserve">2.2.7. Take measures to improve situation in accordance the analyses under activity 2.2.6. </w:t>
            </w:r>
          </w:p>
        </w:tc>
        <w:tc>
          <w:tcPr>
            <w:tcW w:w="403" w:type="pct"/>
          </w:tcPr>
          <w:p w:rsidR="005B03E9" w:rsidRPr="00CF4C4E" w:rsidRDefault="005B03E9" w:rsidP="00CF4C4E">
            <w:pPr>
              <w:rPr>
                <w:sz w:val="20"/>
                <w:szCs w:val="20"/>
                <w:lang w:val="en-GB"/>
              </w:rPr>
            </w:pPr>
            <w:r w:rsidRPr="00CF4C4E">
              <w:rPr>
                <w:sz w:val="20"/>
                <w:szCs w:val="20"/>
                <w:lang w:val="en-GB"/>
              </w:rPr>
              <w:t>AML/CFT CB</w:t>
            </w:r>
          </w:p>
        </w:tc>
        <w:tc>
          <w:tcPr>
            <w:tcW w:w="436" w:type="pct"/>
          </w:tcPr>
          <w:p w:rsidR="005B03E9" w:rsidRPr="00CF4C4E" w:rsidRDefault="005B03E9" w:rsidP="00CF4C4E">
            <w:pPr>
              <w:rPr>
                <w:sz w:val="20"/>
                <w:szCs w:val="20"/>
                <w:lang w:val="en-GB"/>
              </w:rPr>
            </w:pPr>
            <w:r w:rsidRPr="00CF4C4E">
              <w:rPr>
                <w:sz w:val="20"/>
                <w:szCs w:val="20"/>
                <w:lang w:val="en-GB"/>
              </w:rPr>
              <w:t xml:space="preserve">SBRA, supervisory authorities </w:t>
            </w:r>
          </w:p>
        </w:tc>
        <w:tc>
          <w:tcPr>
            <w:tcW w:w="408" w:type="pct"/>
          </w:tcPr>
          <w:p w:rsidR="005B03E9" w:rsidRPr="00CF4C4E" w:rsidRDefault="005B03E9" w:rsidP="00CF4C4E">
            <w:pPr>
              <w:rPr>
                <w:sz w:val="20"/>
                <w:szCs w:val="20"/>
                <w:lang w:val="en-GB"/>
              </w:rPr>
            </w:pPr>
            <w:r w:rsidRPr="00CF4C4E">
              <w:rPr>
                <w:sz w:val="20"/>
                <w:szCs w:val="20"/>
                <w:lang w:val="en-GB"/>
              </w:rPr>
              <w:t>IV quarter of 2022 (continuous activity)</w:t>
            </w:r>
          </w:p>
        </w:tc>
        <w:tc>
          <w:tcPr>
            <w:tcW w:w="553" w:type="pct"/>
          </w:tcPr>
          <w:p w:rsidR="005B03E9" w:rsidRPr="00CF4C4E" w:rsidRDefault="005B03E9" w:rsidP="00CF4C4E">
            <w:pPr>
              <w:rPr>
                <w:sz w:val="20"/>
                <w:szCs w:val="20"/>
                <w:lang w:val="en-GB"/>
              </w:rPr>
            </w:pPr>
            <w:r w:rsidRPr="00CF4C4E">
              <w:rPr>
                <w:sz w:val="20"/>
                <w:szCs w:val="20"/>
                <w:lang w:val="en-GB"/>
              </w:rPr>
              <w:t>Financed as part of regular activities of staff</w:t>
            </w:r>
          </w:p>
        </w:tc>
        <w:tc>
          <w:tcPr>
            <w:tcW w:w="407" w:type="pct"/>
          </w:tcPr>
          <w:p w:rsidR="005B03E9" w:rsidRPr="00CF4C4E" w:rsidRDefault="005B03E9" w:rsidP="00CF4C4E">
            <w:pPr>
              <w:rPr>
                <w:sz w:val="20"/>
                <w:szCs w:val="20"/>
                <w:lang w:val="en-GB"/>
              </w:rPr>
            </w:pPr>
          </w:p>
        </w:tc>
        <w:tc>
          <w:tcPr>
            <w:tcW w:w="594" w:type="pct"/>
          </w:tcPr>
          <w:p w:rsidR="005B03E9" w:rsidRPr="00CF4C4E" w:rsidRDefault="005B03E9" w:rsidP="00CF4C4E">
            <w:pPr>
              <w:rPr>
                <w:sz w:val="20"/>
                <w:szCs w:val="20"/>
                <w:lang w:val="en-GB"/>
              </w:rPr>
            </w:pPr>
          </w:p>
        </w:tc>
        <w:tc>
          <w:tcPr>
            <w:tcW w:w="645" w:type="pct"/>
          </w:tcPr>
          <w:p w:rsidR="005B03E9" w:rsidRPr="00CF4C4E" w:rsidRDefault="005B03E9" w:rsidP="00CF4C4E">
            <w:pPr>
              <w:rPr>
                <w:sz w:val="20"/>
                <w:szCs w:val="20"/>
                <w:lang w:val="en-GB"/>
              </w:rPr>
            </w:pPr>
          </w:p>
        </w:tc>
        <w:tc>
          <w:tcPr>
            <w:tcW w:w="710" w:type="pct"/>
          </w:tcPr>
          <w:p w:rsidR="005B03E9" w:rsidRPr="00CF4C4E" w:rsidRDefault="005B03E9" w:rsidP="00CF4C4E">
            <w:pPr>
              <w:rPr>
                <w:sz w:val="20"/>
                <w:szCs w:val="20"/>
                <w:lang w:val="en-GB"/>
              </w:rPr>
            </w:pPr>
          </w:p>
        </w:tc>
      </w:tr>
      <w:tr w:rsidR="000F0BD0" w:rsidRPr="00CF4C4E" w:rsidTr="00CF4C4E">
        <w:trPr>
          <w:trHeight w:val="645"/>
        </w:trPr>
        <w:tc>
          <w:tcPr>
            <w:tcW w:w="844" w:type="pct"/>
            <w:tcBorders>
              <w:left w:val="double" w:sz="4" w:space="0" w:color="auto"/>
            </w:tcBorders>
          </w:tcPr>
          <w:p w:rsidR="00DA0EC2" w:rsidRPr="00CF4C4E" w:rsidRDefault="000F0BD0" w:rsidP="00CF4C4E">
            <w:pPr>
              <w:rPr>
                <w:sz w:val="20"/>
                <w:szCs w:val="20"/>
                <w:lang w:val="en-GB"/>
              </w:rPr>
            </w:pPr>
            <w:r w:rsidRPr="00CF4C4E">
              <w:rPr>
                <w:sz w:val="20"/>
                <w:szCs w:val="20"/>
                <w:lang w:val="en-GB"/>
              </w:rPr>
              <w:t>2.2.8. Introduce an obligation for individuals who are part of the VAT system and who engage in construction of buildings (individual investors) to open a specific-purpose account and to conduct their business through this account;</w:t>
            </w:r>
          </w:p>
        </w:tc>
        <w:tc>
          <w:tcPr>
            <w:tcW w:w="403" w:type="pct"/>
          </w:tcPr>
          <w:p w:rsidR="000F0BD0" w:rsidRPr="00CF4C4E" w:rsidRDefault="006C303F" w:rsidP="00CF4C4E">
            <w:pPr>
              <w:rPr>
                <w:sz w:val="20"/>
                <w:szCs w:val="20"/>
                <w:lang w:val="en-GB"/>
              </w:rPr>
            </w:pPr>
            <w:r w:rsidRPr="00CF4C4E">
              <w:rPr>
                <w:sz w:val="20"/>
                <w:szCs w:val="20"/>
                <w:lang w:val="en-GB"/>
              </w:rPr>
              <w:t>MoF-TA</w:t>
            </w:r>
          </w:p>
        </w:tc>
        <w:tc>
          <w:tcPr>
            <w:tcW w:w="436" w:type="pct"/>
          </w:tcPr>
          <w:p w:rsidR="000F0BD0" w:rsidRPr="00CF4C4E" w:rsidRDefault="006C303F" w:rsidP="00CF4C4E">
            <w:pPr>
              <w:rPr>
                <w:sz w:val="20"/>
                <w:szCs w:val="20"/>
                <w:lang w:val="en-GB"/>
              </w:rPr>
            </w:pPr>
            <w:r w:rsidRPr="00CF4C4E">
              <w:rPr>
                <w:sz w:val="20"/>
                <w:szCs w:val="20"/>
                <w:lang w:val="en-GB"/>
              </w:rPr>
              <w:t>MoF</w:t>
            </w:r>
          </w:p>
        </w:tc>
        <w:tc>
          <w:tcPr>
            <w:tcW w:w="408" w:type="pct"/>
          </w:tcPr>
          <w:p w:rsidR="000F0BD0" w:rsidRPr="00CF4C4E" w:rsidRDefault="000F0BD0" w:rsidP="00CF4C4E">
            <w:pPr>
              <w:rPr>
                <w:sz w:val="20"/>
                <w:szCs w:val="20"/>
                <w:lang w:val="en-GB"/>
              </w:rPr>
            </w:pPr>
            <w:r w:rsidRPr="00CF4C4E">
              <w:rPr>
                <w:sz w:val="20"/>
                <w:szCs w:val="20"/>
                <w:lang w:val="en-GB"/>
              </w:rPr>
              <w:t>December 2020</w:t>
            </w:r>
          </w:p>
        </w:tc>
        <w:tc>
          <w:tcPr>
            <w:tcW w:w="553" w:type="pct"/>
          </w:tcPr>
          <w:p w:rsidR="000F0BD0" w:rsidRPr="00CF4C4E" w:rsidRDefault="000F0BD0" w:rsidP="00CF4C4E">
            <w:pPr>
              <w:rPr>
                <w:sz w:val="20"/>
                <w:szCs w:val="20"/>
                <w:lang w:val="en-GB"/>
              </w:rPr>
            </w:pPr>
            <w:r w:rsidRPr="00CF4C4E">
              <w:rPr>
                <w:sz w:val="20"/>
                <w:szCs w:val="20"/>
                <w:lang w:val="en-GB"/>
              </w:rPr>
              <w:t>Financed as part of regular activities of staff</w:t>
            </w:r>
          </w:p>
        </w:tc>
        <w:tc>
          <w:tcPr>
            <w:tcW w:w="407" w:type="pct"/>
          </w:tcPr>
          <w:p w:rsidR="000F0BD0" w:rsidRPr="00CF4C4E" w:rsidRDefault="000F0BD0" w:rsidP="00CF4C4E">
            <w:pPr>
              <w:rPr>
                <w:sz w:val="20"/>
                <w:szCs w:val="20"/>
                <w:lang w:val="en-GB"/>
              </w:rPr>
            </w:pPr>
          </w:p>
        </w:tc>
        <w:tc>
          <w:tcPr>
            <w:tcW w:w="594" w:type="pct"/>
          </w:tcPr>
          <w:p w:rsidR="000F0BD0" w:rsidRPr="00CF4C4E" w:rsidRDefault="000F0BD0" w:rsidP="00CF4C4E">
            <w:pPr>
              <w:rPr>
                <w:sz w:val="20"/>
                <w:szCs w:val="20"/>
                <w:lang w:val="en-GB"/>
              </w:rPr>
            </w:pPr>
          </w:p>
        </w:tc>
        <w:tc>
          <w:tcPr>
            <w:tcW w:w="645" w:type="pct"/>
          </w:tcPr>
          <w:p w:rsidR="000F0BD0" w:rsidRPr="00CF4C4E" w:rsidRDefault="000F0BD0" w:rsidP="00CF4C4E">
            <w:pPr>
              <w:rPr>
                <w:sz w:val="20"/>
                <w:szCs w:val="20"/>
                <w:lang w:val="en-GB"/>
              </w:rPr>
            </w:pPr>
          </w:p>
        </w:tc>
        <w:tc>
          <w:tcPr>
            <w:tcW w:w="710" w:type="pct"/>
          </w:tcPr>
          <w:p w:rsidR="000F0BD0" w:rsidRPr="00CF4C4E" w:rsidRDefault="000F0BD0" w:rsidP="00CF4C4E">
            <w:pPr>
              <w:rPr>
                <w:sz w:val="20"/>
                <w:szCs w:val="20"/>
                <w:lang w:val="en-GB"/>
              </w:rPr>
            </w:pPr>
          </w:p>
        </w:tc>
      </w:tr>
      <w:tr w:rsidR="0022234E" w:rsidRPr="00CF4C4E" w:rsidTr="00DB34B7">
        <w:trPr>
          <w:trHeight w:val="140"/>
        </w:trPr>
        <w:tc>
          <w:tcPr>
            <w:tcW w:w="844" w:type="pct"/>
            <w:tcBorders>
              <w:left w:val="double" w:sz="4" w:space="0" w:color="auto"/>
            </w:tcBorders>
          </w:tcPr>
          <w:p w:rsidR="0022234E" w:rsidRPr="00CF4C4E" w:rsidRDefault="005B03E9" w:rsidP="00CF4C4E">
            <w:pPr>
              <w:rPr>
                <w:sz w:val="20"/>
                <w:szCs w:val="20"/>
                <w:lang w:val="en-GB"/>
              </w:rPr>
            </w:pPr>
            <w:r w:rsidRPr="00CF4C4E">
              <w:rPr>
                <w:sz w:val="20"/>
                <w:szCs w:val="20"/>
                <w:lang w:val="en-GB"/>
              </w:rPr>
              <w:t>2.2.9. Based on a needs assessment, provide information to identified groups of obliged entities, in appropriate formats, about their obligations under the AML/CFT Law and Law o Freezing of Assets with the Aim of Preventing Terrorism and Proliferation of WMD</w:t>
            </w:r>
          </w:p>
        </w:tc>
        <w:tc>
          <w:tcPr>
            <w:tcW w:w="403" w:type="pct"/>
          </w:tcPr>
          <w:p w:rsidR="0022234E" w:rsidRPr="00CF4C4E" w:rsidRDefault="0022234E" w:rsidP="00CF4C4E">
            <w:pPr>
              <w:rPr>
                <w:sz w:val="20"/>
                <w:szCs w:val="20"/>
                <w:lang w:val="en-GB"/>
              </w:rPr>
            </w:pPr>
            <w:r w:rsidRPr="00CF4C4E">
              <w:rPr>
                <w:sz w:val="20"/>
                <w:szCs w:val="20"/>
                <w:lang w:val="en-GB"/>
              </w:rPr>
              <w:t>APML</w:t>
            </w:r>
          </w:p>
        </w:tc>
        <w:tc>
          <w:tcPr>
            <w:tcW w:w="436" w:type="pct"/>
          </w:tcPr>
          <w:p w:rsidR="0022234E" w:rsidRPr="00CF4C4E" w:rsidRDefault="0022234E" w:rsidP="00CF4C4E">
            <w:pPr>
              <w:rPr>
                <w:sz w:val="20"/>
                <w:szCs w:val="20"/>
                <w:lang w:val="en-GB"/>
              </w:rPr>
            </w:pPr>
            <w:r w:rsidRPr="00CF4C4E">
              <w:rPr>
                <w:sz w:val="20"/>
                <w:szCs w:val="20"/>
                <w:lang w:val="en-GB"/>
              </w:rPr>
              <w:t>Professional Associations, Serbian Chamber of Commerce and Industry, MTTT, GCHA</w:t>
            </w:r>
          </w:p>
        </w:tc>
        <w:tc>
          <w:tcPr>
            <w:tcW w:w="408" w:type="pct"/>
          </w:tcPr>
          <w:p w:rsidR="0022234E" w:rsidRPr="00CF4C4E" w:rsidRDefault="0022234E" w:rsidP="00CF4C4E">
            <w:pPr>
              <w:rPr>
                <w:sz w:val="20"/>
                <w:szCs w:val="20"/>
                <w:lang w:val="en-GB"/>
              </w:rPr>
            </w:pPr>
            <w:r w:rsidRPr="00CF4C4E">
              <w:rPr>
                <w:sz w:val="20"/>
                <w:szCs w:val="20"/>
                <w:lang w:val="en-GB"/>
              </w:rPr>
              <w:t>May 2020</w:t>
            </w:r>
          </w:p>
        </w:tc>
        <w:tc>
          <w:tcPr>
            <w:tcW w:w="553" w:type="pct"/>
          </w:tcPr>
          <w:p w:rsidR="0022234E" w:rsidRPr="00CF4C4E" w:rsidRDefault="0022234E" w:rsidP="00CF4C4E">
            <w:pPr>
              <w:rPr>
                <w:sz w:val="20"/>
                <w:szCs w:val="20"/>
                <w:lang w:val="en-GB"/>
              </w:rPr>
            </w:pPr>
            <w:r w:rsidRPr="00CF4C4E">
              <w:rPr>
                <w:sz w:val="20"/>
                <w:szCs w:val="20"/>
                <w:lang w:val="en-GB"/>
              </w:rPr>
              <w:t>International donor funds (EU Support to Prevention of Money Laundering in Serbia Project, OSCE Mission to Serbia)</w:t>
            </w:r>
          </w:p>
          <w:p w:rsidR="0022234E" w:rsidRPr="00CF4C4E" w:rsidRDefault="0022234E" w:rsidP="00CF4C4E">
            <w:pPr>
              <w:rPr>
                <w:sz w:val="20"/>
                <w:szCs w:val="20"/>
                <w:lang w:val="en-GB"/>
              </w:rPr>
            </w:pPr>
          </w:p>
        </w:tc>
        <w:tc>
          <w:tcPr>
            <w:tcW w:w="407" w:type="pct"/>
          </w:tcPr>
          <w:p w:rsidR="0022234E" w:rsidRPr="00CF4C4E" w:rsidRDefault="0022234E" w:rsidP="00CF4C4E">
            <w:pPr>
              <w:rPr>
                <w:sz w:val="20"/>
                <w:szCs w:val="20"/>
                <w:lang w:val="en-GB"/>
              </w:rPr>
            </w:pPr>
          </w:p>
        </w:tc>
        <w:tc>
          <w:tcPr>
            <w:tcW w:w="594" w:type="pct"/>
          </w:tcPr>
          <w:p w:rsidR="0022234E" w:rsidRPr="00CF4C4E" w:rsidRDefault="0022234E" w:rsidP="00CF4C4E">
            <w:pPr>
              <w:rPr>
                <w:sz w:val="20"/>
                <w:szCs w:val="20"/>
                <w:lang w:val="en-GB"/>
              </w:rPr>
            </w:pPr>
          </w:p>
        </w:tc>
        <w:tc>
          <w:tcPr>
            <w:tcW w:w="645" w:type="pct"/>
          </w:tcPr>
          <w:p w:rsidR="0022234E" w:rsidRPr="00CF4C4E" w:rsidRDefault="0022234E" w:rsidP="00CF4C4E">
            <w:pPr>
              <w:rPr>
                <w:sz w:val="20"/>
                <w:szCs w:val="20"/>
                <w:lang w:val="en-GB"/>
              </w:rPr>
            </w:pPr>
          </w:p>
        </w:tc>
        <w:tc>
          <w:tcPr>
            <w:tcW w:w="710" w:type="pct"/>
          </w:tcPr>
          <w:p w:rsidR="0022234E" w:rsidRPr="00CF4C4E" w:rsidRDefault="0022234E" w:rsidP="00CF4C4E">
            <w:pPr>
              <w:rPr>
                <w:sz w:val="20"/>
                <w:szCs w:val="20"/>
                <w:lang w:val="en-GB"/>
              </w:rPr>
            </w:pPr>
          </w:p>
        </w:tc>
      </w:tr>
      <w:tr w:rsidR="000F0BD0" w:rsidRPr="00CF4C4E" w:rsidTr="00DB34B7">
        <w:trPr>
          <w:trHeight w:val="767"/>
        </w:trPr>
        <w:tc>
          <w:tcPr>
            <w:tcW w:w="844" w:type="pct"/>
            <w:tcBorders>
              <w:left w:val="double" w:sz="4" w:space="0" w:color="auto"/>
            </w:tcBorders>
          </w:tcPr>
          <w:p w:rsidR="000F0BD0" w:rsidRPr="00CF4C4E" w:rsidRDefault="000F0BD0" w:rsidP="00CF4C4E">
            <w:pPr>
              <w:rPr>
                <w:sz w:val="20"/>
                <w:szCs w:val="20"/>
                <w:lang w:val="en-GB"/>
              </w:rPr>
            </w:pPr>
            <w:r w:rsidRPr="00CF4C4E">
              <w:rPr>
                <w:sz w:val="20"/>
                <w:szCs w:val="20"/>
                <w:lang w:val="en-GB"/>
              </w:rPr>
              <w:lastRenderedPageBreak/>
              <w:t xml:space="preserve">2.2.10. Monitoring of international standards in the area of new technologies and digital identities </w:t>
            </w:r>
          </w:p>
        </w:tc>
        <w:tc>
          <w:tcPr>
            <w:tcW w:w="403" w:type="pct"/>
          </w:tcPr>
          <w:p w:rsidR="000F0BD0" w:rsidRPr="00CF4C4E" w:rsidRDefault="00A9340A" w:rsidP="00CF4C4E">
            <w:pPr>
              <w:rPr>
                <w:sz w:val="20"/>
                <w:szCs w:val="20"/>
                <w:lang w:val="en-GB"/>
              </w:rPr>
            </w:pPr>
            <w:r w:rsidRPr="00CF4C4E">
              <w:rPr>
                <w:sz w:val="20"/>
                <w:szCs w:val="20"/>
                <w:lang w:val="en-GB"/>
              </w:rPr>
              <w:t>AML/CFT CB</w:t>
            </w:r>
          </w:p>
        </w:tc>
        <w:tc>
          <w:tcPr>
            <w:tcW w:w="436" w:type="pct"/>
          </w:tcPr>
          <w:p w:rsidR="000F0BD0" w:rsidRPr="00CF4C4E" w:rsidRDefault="00E31352" w:rsidP="00CF4C4E">
            <w:pPr>
              <w:rPr>
                <w:sz w:val="20"/>
                <w:szCs w:val="20"/>
                <w:lang w:val="en-GB"/>
              </w:rPr>
            </w:pPr>
            <w:r w:rsidRPr="00CF4C4E">
              <w:rPr>
                <w:sz w:val="20"/>
                <w:szCs w:val="20"/>
                <w:lang w:val="en-GB"/>
              </w:rPr>
              <w:t>National Bank of Serbia</w:t>
            </w:r>
          </w:p>
        </w:tc>
        <w:tc>
          <w:tcPr>
            <w:tcW w:w="408" w:type="pct"/>
          </w:tcPr>
          <w:p w:rsidR="000F0BD0" w:rsidRPr="00CF4C4E" w:rsidRDefault="000F0BD0" w:rsidP="00CF4C4E">
            <w:pPr>
              <w:rPr>
                <w:sz w:val="20"/>
                <w:szCs w:val="20"/>
                <w:lang w:val="en-GB"/>
              </w:rPr>
            </w:pPr>
            <w:r w:rsidRPr="00CF4C4E">
              <w:rPr>
                <w:sz w:val="20"/>
                <w:szCs w:val="20"/>
                <w:lang w:val="en-GB"/>
              </w:rPr>
              <w:t>IV quarter of 2022 (continuous activity)</w:t>
            </w:r>
          </w:p>
        </w:tc>
        <w:tc>
          <w:tcPr>
            <w:tcW w:w="553" w:type="pct"/>
          </w:tcPr>
          <w:p w:rsidR="000F0BD0" w:rsidRPr="00CF4C4E" w:rsidRDefault="006C303F" w:rsidP="00CF4C4E">
            <w:pPr>
              <w:rPr>
                <w:sz w:val="20"/>
                <w:szCs w:val="20"/>
                <w:lang w:val="en-GB"/>
              </w:rPr>
            </w:pPr>
            <w:r w:rsidRPr="00CF4C4E">
              <w:rPr>
                <w:sz w:val="20"/>
                <w:szCs w:val="20"/>
                <w:lang w:val="en-GB"/>
              </w:rPr>
              <w:t>Financed as part of regular activities of staff</w:t>
            </w:r>
          </w:p>
        </w:tc>
        <w:tc>
          <w:tcPr>
            <w:tcW w:w="407" w:type="pct"/>
          </w:tcPr>
          <w:p w:rsidR="000F0BD0" w:rsidRPr="00CF4C4E" w:rsidRDefault="000F0BD0" w:rsidP="00CF4C4E">
            <w:pPr>
              <w:rPr>
                <w:sz w:val="20"/>
                <w:szCs w:val="20"/>
                <w:lang w:val="en-GB"/>
              </w:rPr>
            </w:pPr>
          </w:p>
        </w:tc>
        <w:tc>
          <w:tcPr>
            <w:tcW w:w="594" w:type="pct"/>
          </w:tcPr>
          <w:p w:rsidR="000F0BD0" w:rsidRPr="00CF4C4E" w:rsidRDefault="000F0BD0" w:rsidP="00CF4C4E">
            <w:pPr>
              <w:rPr>
                <w:sz w:val="20"/>
                <w:szCs w:val="20"/>
                <w:lang w:val="en-GB"/>
              </w:rPr>
            </w:pPr>
          </w:p>
        </w:tc>
        <w:tc>
          <w:tcPr>
            <w:tcW w:w="645" w:type="pct"/>
          </w:tcPr>
          <w:p w:rsidR="000F0BD0" w:rsidRPr="00CF4C4E" w:rsidRDefault="000F0BD0" w:rsidP="00CF4C4E">
            <w:pPr>
              <w:rPr>
                <w:sz w:val="20"/>
                <w:szCs w:val="20"/>
                <w:lang w:val="en-GB"/>
              </w:rPr>
            </w:pPr>
          </w:p>
        </w:tc>
        <w:tc>
          <w:tcPr>
            <w:tcW w:w="710" w:type="pct"/>
          </w:tcPr>
          <w:p w:rsidR="000F0BD0" w:rsidRPr="00CF4C4E" w:rsidRDefault="000F0BD0" w:rsidP="00CF4C4E">
            <w:pPr>
              <w:rPr>
                <w:sz w:val="20"/>
                <w:szCs w:val="20"/>
                <w:lang w:val="en-GB"/>
              </w:rPr>
            </w:pPr>
          </w:p>
        </w:tc>
      </w:tr>
    </w:tbl>
    <w:p w:rsidR="00EE56CF" w:rsidRPr="00CF4C4E" w:rsidRDefault="00EE56CF" w:rsidP="00CF4C4E">
      <w:pPr>
        <w:rPr>
          <w:sz w:val="20"/>
          <w:szCs w:val="20"/>
          <w:lang w:val="en-GB"/>
        </w:rPr>
      </w:pPr>
    </w:p>
    <w:tbl>
      <w:tblPr>
        <w:tblStyle w:val="TableGrid"/>
        <w:tblW w:w="14142" w:type="dxa"/>
        <w:tblLayout w:type="fixed"/>
        <w:tblLook w:val="04A0"/>
      </w:tblPr>
      <w:tblGrid>
        <w:gridCol w:w="3510"/>
        <w:gridCol w:w="1560"/>
        <w:gridCol w:w="1832"/>
        <w:gridCol w:w="436"/>
        <w:gridCol w:w="1559"/>
        <w:gridCol w:w="1134"/>
        <w:gridCol w:w="1276"/>
        <w:gridCol w:w="1417"/>
        <w:gridCol w:w="1418"/>
      </w:tblGrid>
      <w:tr w:rsidR="002F2CC6" w:rsidRPr="00CF4C4E" w:rsidTr="00DF0DDF">
        <w:trPr>
          <w:trHeight w:val="169"/>
        </w:trPr>
        <w:tc>
          <w:tcPr>
            <w:tcW w:w="14142" w:type="dxa"/>
            <w:gridSpan w:val="9"/>
            <w:tcBorders>
              <w:top w:val="double" w:sz="4" w:space="0" w:color="auto"/>
              <w:left w:val="double" w:sz="4" w:space="0" w:color="auto"/>
              <w:right w:val="double" w:sz="4" w:space="0" w:color="auto"/>
            </w:tcBorders>
            <w:shd w:val="clear" w:color="auto" w:fill="E5B8B7" w:themeFill="accent2" w:themeFillTint="66"/>
          </w:tcPr>
          <w:p w:rsidR="002F2CC6" w:rsidRPr="00CF4C4E" w:rsidRDefault="002F2CC6" w:rsidP="00CF4C4E">
            <w:pPr>
              <w:pStyle w:val="Heading3"/>
              <w:spacing w:before="0"/>
              <w:rPr>
                <w:rFonts w:cs="Times New Roman"/>
                <w:szCs w:val="20"/>
                <w:lang w:val="en-GB"/>
              </w:rPr>
            </w:pPr>
            <w:bookmarkStart w:id="9" w:name="_Toc32409913"/>
            <w:r w:rsidRPr="00CF4C4E">
              <w:rPr>
                <w:rFonts w:cs="Times New Roman"/>
                <w:szCs w:val="20"/>
                <w:lang w:val="en-GB"/>
              </w:rPr>
              <w:t>Measure 2.3.</w:t>
            </w:r>
            <w:r w:rsidRPr="00CF4C4E">
              <w:rPr>
                <w:rFonts w:cs="Times New Roman"/>
                <w:b w:val="0"/>
                <w:bCs w:val="0"/>
                <w:szCs w:val="20"/>
                <w:lang w:val="en-GB"/>
              </w:rPr>
              <w:t xml:space="preserve"> </w:t>
            </w:r>
            <w:r w:rsidRPr="00CF4C4E">
              <w:rPr>
                <w:rFonts w:cs="Times New Roman"/>
                <w:szCs w:val="20"/>
                <w:lang w:val="en-GB"/>
              </w:rPr>
              <w:t>Improve the operation of AML/CFT supervisors in line with the risks found in the NRA</w:t>
            </w:r>
            <w:bookmarkEnd w:id="9"/>
          </w:p>
        </w:tc>
      </w:tr>
      <w:tr w:rsidR="002F2CC6" w:rsidRPr="00CF4C4E" w:rsidTr="00DF0DDF">
        <w:trPr>
          <w:trHeight w:val="300"/>
        </w:trPr>
        <w:tc>
          <w:tcPr>
            <w:tcW w:w="14142" w:type="dxa"/>
            <w:gridSpan w:val="9"/>
            <w:tcBorders>
              <w:top w:val="double" w:sz="4" w:space="0" w:color="auto"/>
              <w:left w:val="double" w:sz="4" w:space="0" w:color="auto"/>
              <w:bottom w:val="double" w:sz="4" w:space="0" w:color="auto"/>
              <w:right w:val="double" w:sz="4" w:space="0" w:color="auto"/>
            </w:tcBorders>
            <w:shd w:val="clear" w:color="auto" w:fill="E5B8B7" w:themeFill="accent2" w:themeFillTint="66"/>
            <w:vAlign w:val="center"/>
          </w:tcPr>
          <w:p w:rsidR="002F2CC6" w:rsidRPr="00CF4C4E" w:rsidRDefault="002F2CC6" w:rsidP="00CF4C4E">
            <w:pPr>
              <w:rPr>
                <w:sz w:val="20"/>
                <w:szCs w:val="20"/>
                <w:lang w:val="en-GB"/>
              </w:rPr>
            </w:pPr>
            <w:r w:rsidRPr="00CF4C4E">
              <w:rPr>
                <w:rFonts w:eastAsia="Times New Roman"/>
                <w:color w:val="222222"/>
                <w:sz w:val="20"/>
                <w:szCs w:val="20"/>
                <w:lang w:val="en-GB"/>
              </w:rPr>
              <w:t>Institution responsible for monitoring and control of implementation: Coordination Body for the Prevention of Money Laundering and the Financing of Terrorism (AML/CFT CB)</w:t>
            </w:r>
          </w:p>
        </w:tc>
      </w:tr>
      <w:tr w:rsidR="002F2CC6" w:rsidRPr="00CF4C4E" w:rsidTr="00DF0DDF">
        <w:trPr>
          <w:trHeight w:val="300"/>
        </w:trPr>
        <w:tc>
          <w:tcPr>
            <w:tcW w:w="6902" w:type="dxa"/>
            <w:gridSpan w:val="3"/>
            <w:tcBorders>
              <w:top w:val="double" w:sz="4" w:space="0" w:color="auto"/>
              <w:left w:val="double" w:sz="4" w:space="0" w:color="auto"/>
              <w:bottom w:val="double" w:sz="4" w:space="0" w:color="auto"/>
              <w:right w:val="double" w:sz="4" w:space="0" w:color="auto"/>
            </w:tcBorders>
            <w:shd w:val="clear" w:color="auto" w:fill="E5B8B7" w:themeFill="accent2" w:themeFillTint="66"/>
          </w:tcPr>
          <w:p w:rsidR="002F2CC6" w:rsidRPr="00CF4C4E" w:rsidRDefault="002F2CC6" w:rsidP="00CF4C4E">
            <w:pPr>
              <w:rPr>
                <w:sz w:val="20"/>
                <w:szCs w:val="20"/>
                <w:lang w:val="en-GB"/>
              </w:rPr>
            </w:pPr>
            <w:r w:rsidRPr="00CF4C4E">
              <w:rPr>
                <w:sz w:val="20"/>
                <w:szCs w:val="20"/>
                <w:lang w:val="en-GB"/>
              </w:rPr>
              <w:t>Implementation period: 2020-2022</w:t>
            </w:r>
          </w:p>
        </w:tc>
        <w:tc>
          <w:tcPr>
            <w:tcW w:w="7240" w:type="dxa"/>
            <w:gridSpan w:val="6"/>
            <w:tcBorders>
              <w:top w:val="double" w:sz="4" w:space="0" w:color="auto"/>
              <w:left w:val="double" w:sz="4" w:space="0" w:color="auto"/>
              <w:bottom w:val="double" w:sz="4" w:space="0" w:color="auto"/>
              <w:right w:val="double" w:sz="4" w:space="0" w:color="auto"/>
            </w:tcBorders>
            <w:shd w:val="clear" w:color="auto" w:fill="E5B8B7" w:themeFill="accent2" w:themeFillTint="66"/>
          </w:tcPr>
          <w:p w:rsidR="002F2CC6" w:rsidRPr="00CF4C4E" w:rsidRDefault="002F2CC6" w:rsidP="00CF4C4E">
            <w:pPr>
              <w:rPr>
                <w:sz w:val="20"/>
                <w:szCs w:val="20"/>
                <w:lang w:val="en-GB"/>
              </w:rPr>
            </w:pPr>
            <w:r w:rsidRPr="00CF4C4E">
              <w:rPr>
                <w:sz w:val="20"/>
                <w:szCs w:val="20"/>
                <w:lang w:val="en-GB"/>
              </w:rPr>
              <w:t>Type of measure: Institutional/managerial/organisational</w:t>
            </w:r>
          </w:p>
        </w:tc>
      </w:tr>
      <w:tr w:rsidR="00DF0DDF" w:rsidRPr="00CF4C4E" w:rsidTr="00CF4C4E">
        <w:trPr>
          <w:trHeight w:val="521"/>
        </w:trPr>
        <w:tc>
          <w:tcPr>
            <w:tcW w:w="3510"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Indicator(s) at the level of measure (result indicator):</w:t>
            </w:r>
          </w:p>
        </w:tc>
        <w:tc>
          <w:tcPr>
            <w:tcW w:w="1560"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Unit of measurement</w:t>
            </w:r>
          </w:p>
        </w:tc>
        <w:tc>
          <w:tcPr>
            <w:tcW w:w="2268" w:type="dxa"/>
            <w:gridSpan w:val="2"/>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Source of verification</w:t>
            </w:r>
          </w:p>
        </w:tc>
        <w:tc>
          <w:tcPr>
            <w:tcW w:w="1559"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 xml:space="preserve">Base value </w:t>
            </w:r>
          </w:p>
        </w:tc>
        <w:tc>
          <w:tcPr>
            <w:tcW w:w="1134"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Base year</w:t>
            </w:r>
          </w:p>
        </w:tc>
        <w:tc>
          <w:tcPr>
            <w:tcW w:w="1276"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Target value in 2020</w:t>
            </w:r>
          </w:p>
        </w:tc>
        <w:tc>
          <w:tcPr>
            <w:tcW w:w="1417" w:type="dxa"/>
            <w:tcBorders>
              <w:top w:val="double" w:sz="4" w:space="0" w:color="auto"/>
              <w:right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Target value in 2021</w:t>
            </w:r>
          </w:p>
        </w:tc>
        <w:tc>
          <w:tcPr>
            <w:tcW w:w="1418" w:type="dxa"/>
            <w:tcBorders>
              <w:top w:val="double" w:sz="4" w:space="0" w:color="auto"/>
              <w:right w:val="double" w:sz="4" w:space="0" w:color="auto"/>
            </w:tcBorders>
            <w:shd w:val="clear" w:color="auto" w:fill="D9D9D9" w:themeFill="background1" w:themeFillShade="D9"/>
          </w:tcPr>
          <w:p w:rsidR="00DF0DDF" w:rsidRPr="00CF4C4E" w:rsidRDefault="00885F9C" w:rsidP="00CF4C4E">
            <w:pPr>
              <w:rPr>
                <w:sz w:val="20"/>
                <w:szCs w:val="20"/>
                <w:lang w:val="en-GB"/>
              </w:rPr>
            </w:pPr>
            <w:r w:rsidRPr="00CF4C4E">
              <w:rPr>
                <w:sz w:val="20"/>
                <w:szCs w:val="20"/>
                <w:lang w:val="en-GB"/>
              </w:rPr>
              <w:t>Target value in 2022</w:t>
            </w:r>
          </w:p>
        </w:tc>
      </w:tr>
      <w:tr w:rsidR="002F2CC6" w:rsidRPr="00CF4C4E" w:rsidTr="00DF0DDF">
        <w:trPr>
          <w:trHeight w:val="304"/>
        </w:trPr>
        <w:tc>
          <w:tcPr>
            <w:tcW w:w="3510" w:type="dxa"/>
            <w:tcBorders>
              <w:top w:val="double" w:sz="4" w:space="0" w:color="auto"/>
              <w:bottom w:val="double" w:sz="4" w:space="0" w:color="auto"/>
            </w:tcBorders>
            <w:shd w:val="clear" w:color="auto" w:fill="FFFFFF" w:themeFill="background1"/>
          </w:tcPr>
          <w:p w:rsidR="002F2CC6" w:rsidRPr="00CF4C4E" w:rsidRDefault="00434EDC" w:rsidP="00CF4C4E">
            <w:pPr>
              <w:shd w:val="clear" w:color="auto" w:fill="FFFFFF" w:themeFill="background1"/>
              <w:rPr>
                <w:sz w:val="20"/>
                <w:szCs w:val="20"/>
                <w:lang w:val="en-GB"/>
              </w:rPr>
            </w:pPr>
            <w:r w:rsidRPr="00CF4C4E">
              <w:rPr>
                <w:sz w:val="20"/>
                <w:szCs w:val="20"/>
                <w:lang w:val="en-GB"/>
              </w:rPr>
              <w:t>Continuity and implementation of RBA sustained and improved</w:t>
            </w:r>
          </w:p>
        </w:tc>
        <w:tc>
          <w:tcPr>
            <w:tcW w:w="1560" w:type="dxa"/>
            <w:tcBorders>
              <w:top w:val="double" w:sz="4" w:space="0" w:color="auto"/>
              <w:bottom w:val="double" w:sz="4" w:space="0" w:color="auto"/>
            </w:tcBorders>
            <w:shd w:val="clear" w:color="auto" w:fill="FFFFFF" w:themeFill="background1"/>
          </w:tcPr>
          <w:p w:rsidR="002F2CC6" w:rsidRPr="00CF4C4E" w:rsidRDefault="006C4E6E" w:rsidP="00CF4C4E">
            <w:pPr>
              <w:shd w:val="clear" w:color="auto" w:fill="FFFFFF" w:themeFill="background1"/>
              <w:rPr>
                <w:sz w:val="20"/>
                <w:szCs w:val="20"/>
                <w:lang w:val="en-GB"/>
              </w:rPr>
            </w:pPr>
            <w:r w:rsidRPr="00CF4C4E">
              <w:rPr>
                <w:sz w:val="20"/>
                <w:szCs w:val="20"/>
                <w:lang w:val="en-GB"/>
              </w:rPr>
              <w:t>Yes/No</w:t>
            </w:r>
          </w:p>
        </w:tc>
        <w:tc>
          <w:tcPr>
            <w:tcW w:w="2268" w:type="dxa"/>
            <w:gridSpan w:val="2"/>
            <w:tcBorders>
              <w:top w:val="double" w:sz="4" w:space="0" w:color="auto"/>
              <w:bottom w:val="double" w:sz="4" w:space="0" w:color="auto"/>
            </w:tcBorders>
            <w:shd w:val="clear" w:color="auto" w:fill="FFFFFF" w:themeFill="background1"/>
          </w:tcPr>
          <w:p w:rsidR="002F2CC6" w:rsidRPr="00CF4C4E" w:rsidRDefault="002F2CC6" w:rsidP="00CF4C4E">
            <w:pPr>
              <w:shd w:val="clear" w:color="auto" w:fill="FFFFFF" w:themeFill="background1"/>
              <w:rPr>
                <w:sz w:val="20"/>
                <w:szCs w:val="20"/>
                <w:lang w:val="en-GB"/>
              </w:rPr>
            </w:pPr>
            <w:r w:rsidRPr="00CF4C4E">
              <w:rPr>
                <w:sz w:val="20"/>
                <w:szCs w:val="20"/>
                <w:lang w:val="en-GB"/>
              </w:rPr>
              <w:t>Supervisors’ reports; Moneyval report</w:t>
            </w:r>
          </w:p>
        </w:tc>
        <w:tc>
          <w:tcPr>
            <w:tcW w:w="1559" w:type="dxa"/>
            <w:tcBorders>
              <w:top w:val="double" w:sz="4" w:space="0" w:color="auto"/>
              <w:bottom w:val="double" w:sz="4" w:space="0" w:color="auto"/>
            </w:tcBorders>
            <w:shd w:val="clear" w:color="auto" w:fill="FFFFFF" w:themeFill="background1"/>
          </w:tcPr>
          <w:p w:rsidR="002F2CC6" w:rsidRPr="00CF4C4E" w:rsidRDefault="006C4E6E" w:rsidP="00CF4C4E">
            <w:pPr>
              <w:shd w:val="clear" w:color="auto" w:fill="FFFFFF" w:themeFill="background1"/>
              <w:rPr>
                <w:sz w:val="20"/>
                <w:szCs w:val="20"/>
                <w:lang w:val="en-GB"/>
              </w:rPr>
            </w:pPr>
            <w:r w:rsidRPr="00CF4C4E">
              <w:rPr>
                <w:sz w:val="20"/>
                <w:szCs w:val="20"/>
                <w:lang w:val="en-GB"/>
              </w:rPr>
              <w:t>Yes.</w:t>
            </w:r>
          </w:p>
        </w:tc>
        <w:tc>
          <w:tcPr>
            <w:tcW w:w="1134" w:type="dxa"/>
            <w:tcBorders>
              <w:top w:val="double" w:sz="4" w:space="0" w:color="auto"/>
              <w:bottom w:val="double" w:sz="4" w:space="0" w:color="auto"/>
            </w:tcBorders>
            <w:shd w:val="clear" w:color="auto" w:fill="FFFFFF" w:themeFill="background1"/>
          </w:tcPr>
          <w:p w:rsidR="002F2CC6" w:rsidRPr="00CF4C4E" w:rsidRDefault="002F2CC6" w:rsidP="00CF4C4E">
            <w:pPr>
              <w:shd w:val="clear" w:color="auto" w:fill="FFFFFF" w:themeFill="background1"/>
              <w:rPr>
                <w:sz w:val="20"/>
                <w:szCs w:val="20"/>
                <w:lang w:val="en-GB"/>
              </w:rPr>
            </w:pPr>
            <w:r w:rsidRPr="00CF4C4E">
              <w:rPr>
                <w:sz w:val="20"/>
                <w:szCs w:val="20"/>
                <w:lang w:val="en-GB"/>
              </w:rPr>
              <w:t>2019</w:t>
            </w:r>
          </w:p>
        </w:tc>
        <w:tc>
          <w:tcPr>
            <w:tcW w:w="1276" w:type="dxa"/>
            <w:tcBorders>
              <w:top w:val="double" w:sz="4" w:space="0" w:color="auto"/>
              <w:bottom w:val="double" w:sz="4" w:space="0" w:color="auto"/>
            </w:tcBorders>
            <w:shd w:val="clear" w:color="auto" w:fill="FFFFFF" w:themeFill="background1"/>
          </w:tcPr>
          <w:p w:rsidR="002F2CC6" w:rsidRPr="00CF4C4E" w:rsidRDefault="006C4E6E" w:rsidP="00CF4C4E">
            <w:pPr>
              <w:shd w:val="clear" w:color="auto" w:fill="FFFFFF" w:themeFill="background1"/>
              <w:rPr>
                <w:sz w:val="20"/>
                <w:szCs w:val="20"/>
                <w:lang w:val="en-GB"/>
              </w:rPr>
            </w:pPr>
            <w:r w:rsidRPr="00CF4C4E">
              <w:rPr>
                <w:sz w:val="20"/>
                <w:szCs w:val="20"/>
                <w:lang w:val="en-GB"/>
              </w:rPr>
              <w:t>Yes.</w:t>
            </w:r>
          </w:p>
        </w:tc>
        <w:tc>
          <w:tcPr>
            <w:tcW w:w="1417" w:type="dxa"/>
            <w:tcBorders>
              <w:top w:val="double" w:sz="4" w:space="0" w:color="auto"/>
              <w:bottom w:val="double" w:sz="4" w:space="0" w:color="auto"/>
              <w:right w:val="double" w:sz="4" w:space="0" w:color="auto"/>
            </w:tcBorders>
            <w:shd w:val="clear" w:color="auto" w:fill="FFFFFF" w:themeFill="background1"/>
          </w:tcPr>
          <w:p w:rsidR="002F2CC6" w:rsidRPr="00CF4C4E" w:rsidRDefault="006C4E6E" w:rsidP="00CF4C4E">
            <w:pPr>
              <w:shd w:val="clear" w:color="auto" w:fill="FFFFFF" w:themeFill="background1"/>
              <w:rPr>
                <w:sz w:val="20"/>
                <w:szCs w:val="20"/>
                <w:lang w:val="en-GB"/>
              </w:rPr>
            </w:pPr>
            <w:r w:rsidRPr="00CF4C4E">
              <w:rPr>
                <w:sz w:val="20"/>
                <w:szCs w:val="20"/>
                <w:lang w:val="en-GB"/>
              </w:rPr>
              <w:t>Yes.</w:t>
            </w:r>
          </w:p>
        </w:tc>
        <w:tc>
          <w:tcPr>
            <w:tcW w:w="1418" w:type="dxa"/>
            <w:tcBorders>
              <w:top w:val="double" w:sz="4" w:space="0" w:color="auto"/>
              <w:bottom w:val="double" w:sz="4" w:space="0" w:color="auto"/>
              <w:right w:val="double" w:sz="4" w:space="0" w:color="auto"/>
            </w:tcBorders>
            <w:shd w:val="clear" w:color="auto" w:fill="FFFFFF" w:themeFill="background1"/>
          </w:tcPr>
          <w:p w:rsidR="002F2CC6" w:rsidRPr="00CF4C4E" w:rsidRDefault="006C4E6E" w:rsidP="00CF4C4E">
            <w:pPr>
              <w:shd w:val="clear" w:color="auto" w:fill="FFFFFF" w:themeFill="background1"/>
              <w:rPr>
                <w:sz w:val="20"/>
                <w:szCs w:val="20"/>
                <w:lang w:val="en-GB"/>
              </w:rPr>
            </w:pPr>
            <w:r w:rsidRPr="00CF4C4E">
              <w:rPr>
                <w:sz w:val="20"/>
                <w:szCs w:val="20"/>
                <w:lang w:val="en-GB"/>
              </w:rPr>
              <w:t>Yes.</w:t>
            </w:r>
          </w:p>
        </w:tc>
      </w:tr>
    </w:tbl>
    <w:p w:rsidR="00F43ECD" w:rsidRPr="00CF4C4E" w:rsidRDefault="00F43ECD" w:rsidP="00CF4C4E">
      <w:pPr>
        <w:rPr>
          <w:sz w:val="20"/>
          <w:szCs w:val="20"/>
          <w:lang w:val="en-GB"/>
        </w:rPr>
      </w:pPr>
    </w:p>
    <w:tbl>
      <w:tblPr>
        <w:tblStyle w:val="TableGrid"/>
        <w:tblW w:w="5000" w:type="pct"/>
        <w:tblLayout w:type="fixed"/>
        <w:tblLook w:val="04A0"/>
      </w:tblPr>
      <w:tblGrid>
        <w:gridCol w:w="2392"/>
        <w:gridCol w:w="1143"/>
        <w:gridCol w:w="1236"/>
        <w:gridCol w:w="1157"/>
        <w:gridCol w:w="1568"/>
        <w:gridCol w:w="1154"/>
        <w:gridCol w:w="1837"/>
        <w:gridCol w:w="1525"/>
        <w:gridCol w:w="2163"/>
      </w:tblGrid>
      <w:tr w:rsidR="00D53854" w:rsidRPr="00CF4C4E" w:rsidTr="00D53854">
        <w:trPr>
          <w:trHeight w:val="140"/>
          <w:tblHeader/>
        </w:trPr>
        <w:tc>
          <w:tcPr>
            <w:tcW w:w="844" w:type="pct"/>
            <w:vMerge w:val="restart"/>
            <w:tcBorders>
              <w:top w:val="double" w:sz="4" w:space="0" w:color="auto"/>
              <w:left w:val="double" w:sz="4" w:space="0" w:color="auto"/>
            </w:tcBorders>
            <w:shd w:val="clear" w:color="auto" w:fill="E5DFEC" w:themeFill="accent4" w:themeFillTint="33"/>
          </w:tcPr>
          <w:p w:rsidR="00D53854" w:rsidRPr="00CF4C4E" w:rsidRDefault="00D53854" w:rsidP="00CF4C4E">
            <w:pPr>
              <w:rPr>
                <w:b/>
                <w:sz w:val="20"/>
                <w:szCs w:val="20"/>
                <w:lang w:val="en-GB"/>
              </w:rPr>
            </w:pPr>
            <w:r w:rsidRPr="00CF4C4E">
              <w:rPr>
                <w:b/>
                <w:bCs/>
                <w:sz w:val="20"/>
                <w:szCs w:val="20"/>
                <w:lang w:val="en-GB"/>
              </w:rPr>
              <w:t>Activity title:</w:t>
            </w:r>
          </w:p>
        </w:tc>
        <w:tc>
          <w:tcPr>
            <w:tcW w:w="403" w:type="pct"/>
            <w:vMerge w:val="restart"/>
            <w:tcBorders>
              <w:top w:val="double" w:sz="4" w:space="0" w:color="auto"/>
            </w:tcBorders>
            <w:shd w:val="clear" w:color="auto" w:fill="E5DFEC" w:themeFill="accent4" w:themeFillTint="33"/>
          </w:tcPr>
          <w:p w:rsidR="00D53854" w:rsidRPr="00CF4C4E" w:rsidRDefault="00D53854" w:rsidP="00CF4C4E">
            <w:pPr>
              <w:rPr>
                <w:b/>
                <w:sz w:val="20"/>
                <w:szCs w:val="20"/>
                <w:lang w:val="en-GB"/>
              </w:rPr>
            </w:pPr>
            <w:r w:rsidRPr="00CF4C4E">
              <w:rPr>
                <w:b/>
                <w:bCs/>
                <w:sz w:val="20"/>
                <w:szCs w:val="20"/>
                <w:lang w:val="en-GB"/>
              </w:rPr>
              <w:t>Authority implementing the activity</w:t>
            </w:r>
          </w:p>
        </w:tc>
        <w:tc>
          <w:tcPr>
            <w:tcW w:w="436" w:type="pct"/>
            <w:vMerge w:val="restart"/>
            <w:tcBorders>
              <w:top w:val="double" w:sz="4" w:space="0" w:color="auto"/>
            </w:tcBorders>
            <w:shd w:val="clear" w:color="auto" w:fill="E5DFEC" w:themeFill="accent4" w:themeFillTint="33"/>
          </w:tcPr>
          <w:p w:rsidR="00D53854" w:rsidRPr="00CF4C4E" w:rsidRDefault="00D53854" w:rsidP="00CF4C4E">
            <w:pPr>
              <w:rPr>
                <w:b/>
                <w:sz w:val="20"/>
                <w:szCs w:val="20"/>
                <w:lang w:val="en-GB"/>
              </w:rPr>
            </w:pPr>
            <w:r w:rsidRPr="00CF4C4E">
              <w:rPr>
                <w:b/>
                <w:bCs/>
                <w:sz w:val="20"/>
                <w:szCs w:val="20"/>
                <w:lang w:val="en-GB"/>
              </w:rPr>
              <w:t>Partners in the implementation of the activity</w:t>
            </w:r>
          </w:p>
        </w:tc>
        <w:tc>
          <w:tcPr>
            <w:tcW w:w="408" w:type="pct"/>
            <w:vMerge w:val="restart"/>
            <w:tcBorders>
              <w:top w:val="double" w:sz="4" w:space="0" w:color="auto"/>
            </w:tcBorders>
            <w:shd w:val="clear" w:color="auto" w:fill="E5DFEC" w:themeFill="accent4" w:themeFillTint="33"/>
          </w:tcPr>
          <w:p w:rsidR="00D53854" w:rsidRPr="00CF4C4E" w:rsidRDefault="00D53854" w:rsidP="00CF4C4E">
            <w:pPr>
              <w:jc w:val="center"/>
              <w:rPr>
                <w:b/>
                <w:sz w:val="20"/>
                <w:szCs w:val="20"/>
                <w:lang w:val="en-GB"/>
              </w:rPr>
            </w:pPr>
            <w:r w:rsidRPr="00CF4C4E">
              <w:rPr>
                <w:b/>
                <w:bCs/>
                <w:sz w:val="20"/>
                <w:szCs w:val="20"/>
                <w:lang w:val="en-GB"/>
              </w:rPr>
              <w:t>Deadline for completion of activity</w:t>
            </w:r>
          </w:p>
        </w:tc>
        <w:tc>
          <w:tcPr>
            <w:tcW w:w="553" w:type="pct"/>
            <w:vMerge w:val="restart"/>
            <w:tcBorders>
              <w:top w:val="double" w:sz="4" w:space="0" w:color="auto"/>
            </w:tcBorders>
            <w:shd w:val="clear" w:color="auto" w:fill="E5DFEC" w:themeFill="accent4" w:themeFillTint="33"/>
          </w:tcPr>
          <w:p w:rsidR="00D53854" w:rsidRPr="00CF4C4E" w:rsidRDefault="00D53854" w:rsidP="00CF4C4E">
            <w:pPr>
              <w:jc w:val="center"/>
              <w:rPr>
                <w:b/>
                <w:sz w:val="20"/>
                <w:szCs w:val="20"/>
                <w:lang w:val="en-GB"/>
              </w:rPr>
            </w:pPr>
            <w:r w:rsidRPr="00CF4C4E">
              <w:rPr>
                <w:b/>
                <w:bCs/>
                <w:sz w:val="20"/>
                <w:szCs w:val="20"/>
                <w:lang w:val="en-GB"/>
              </w:rPr>
              <w:t>Source of financing</w:t>
            </w:r>
          </w:p>
        </w:tc>
        <w:tc>
          <w:tcPr>
            <w:tcW w:w="407" w:type="pct"/>
            <w:vMerge w:val="restart"/>
            <w:tcBorders>
              <w:top w:val="double" w:sz="4" w:space="0" w:color="auto"/>
            </w:tcBorders>
            <w:shd w:val="clear" w:color="auto" w:fill="E5DFEC" w:themeFill="accent4" w:themeFillTint="33"/>
          </w:tcPr>
          <w:p w:rsidR="00D53854" w:rsidRPr="00CF4C4E" w:rsidRDefault="00D53854" w:rsidP="00CF4C4E">
            <w:pPr>
              <w:rPr>
                <w:b/>
                <w:sz w:val="20"/>
                <w:szCs w:val="20"/>
                <w:lang w:val="en-GB"/>
              </w:rPr>
            </w:pPr>
            <w:r w:rsidRPr="00CF4C4E">
              <w:rPr>
                <w:b/>
                <w:bCs/>
                <w:sz w:val="20"/>
                <w:szCs w:val="20"/>
                <w:lang w:val="en-GB"/>
              </w:rPr>
              <w:t>Link to programme budget</w:t>
            </w:r>
          </w:p>
          <w:p w:rsidR="00D53854" w:rsidRPr="00CF4C4E" w:rsidRDefault="00D53854" w:rsidP="00CF4C4E">
            <w:pPr>
              <w:jc w:val="center"/>
              <w:rPr>
                <w:b/>
                <w:sz w:val="20"/>
                <w:szCs w:val="20"/>
                <w:lang w:val="en-GB"/>
              </w:rPr>
            </w:pPr>
          </w:p>
        </w:tc>
        <w:tc>
          <w:tcPr>
            <w:tcW w:w="1949" w:type="pct"/>
            <w:gridSpan w:val="3"/>
            <w:tcBorders>
              <w:top w:val="double" w:sz="4" w:space="0" w:color="auto"/>
            </w:tcBorders>
            <w:shd w:val="clear" w:color="auto" w:fill="E5DFEC" w:themeFill="accent4" w:themeFillTint="33"/>
          </w:tcPr>
          <w:p w:rsidR="00D53854" w:rsidRPr="00CF4C4E" w:rsidRDefault="00D53854" w:rsidP="00CF4C4E">
            <w:pPr>
              <w:jc w:val="center"/>
              <w:rPr>
                <w:b/>
                <w:sz w:val="20"/>
                <w:szCs w:val="20"/>
                <w:lang w:val="en-GB"/>
              </w:rPr>
            </w:pPr>
            <w:r w:rsidRPr="00CF4C4E">
              <w:rPr>
                <w:b/>
                <w:bCs/>
                <w:sz w:val="20"/>
                <w:szCs w:val="20"/>
                <w:lang w:val="en-GB"/>
              </w:rPr>
              <w:t>Total assessed financial resources by source in RSD 000</w:t>
            </w:r>
            <w:r w:rsidRPr="00CF4C4E">
              <w:rPr>
                <w:rStyle w:val="FootnoteReference"/>
                <w:sz w:val="20"/>
                <w:szCs w:val="20"/>
                <w:lang w:val="en-GB"/>
              </w:rPr>
              <w:t xml:space="preserve"> </w:t>
            </w:r>
          </w:p>
        </w:tc>
      </w:tr>
      <w:tr w:rsidR="00DB34B7" w:rsidRPr="00CF4C4E" w:rsidTr="00DB34B7">
        <w:trPr>
          <w:trHeight w:val="386"/>
          <w:tblHeader/>
        </w:trPr>
        <w:tc>
          <w:tcPr>
            <w:tcW w:w="844" w:type="pct"/>
            <w:vMerge/>
            <w:tcBorders>
              <w:left w:val="double" w:sz="4" w:space="0" w:color="auto"/>
            </w:tcBorders>
            <w:shd w:val="clear" w:color="auto" w:fill="E5DFEC" w:themeFill="accent4" w:themeFillTint="33"/>
          </w:tcPr>
          <w:p w:rsidR="00DB34B7" w:rsidRPr="00CF4C4E" w:rsidRDefault="00DB34B7" w:rsidP="00CF4C4E">
            <w:pPr>
              <w:rPr>
                <w:sz w:val="20"/>
                <w:szCs w:val="20"/>
                <w:lang w:val="en-GB"/>
              </w:rPr>
            </w:pPr>
          </w:p>
        </w:tc>
        <w:tc>
          <w:tcPr>
            <w:tcW w:w="403" w:type="pct"/>
            <w:vMerge/>
            <w:shd w:val="clear" w:color="auto" w:fill="E5DFEC" w:themeFill="accent4" w:themeFillTint="33"/>
          </w:tcPr>
          <w:p w:rsidR="00DB34B7" w:rsidRPr="00CF4C4E" w:rsidRDefault="00DB34B7" w:rsidP="00CF4C4E">
            <w:pPr>
              <w:rPr>
                <w:sz w:val="20"/>
                <w:szCs w:val="20"/>
                <w:lang w:val="en-GB"/>
              </w:rPr>
            </w:pPr>
          </w:p>
        </w:tc>
        <w:tc>
          <w:tcPr>
            <w:tcW w:w="436" w:type="pct"/>
            <w:vMerge/>
            <w:shd w:val="clear" w:color="auto" w:fill="E5DFEC" w:themeFill="accent4" w:themeFillTint="33"/>
          </w:tcPr>
          <w:p w:rsidR="00DB34B7" w:rsidRPr="00CF4C4E" w:rsidRDefault="00DB34B7" w:rsidP="00CF4C4E">
            <w:pPr>
              <w:rPr>
                <w:sz w:val="20"/>
                <w:szCs w:val="20"/>
                <w:lang w:val="en-GB"/>
              </w:rPr>
            </w:pPr>
          </w:p>
        </w:tc>
        <w:tc>
          <w:tcPr>
            <w:tcW w:w="408" w:type="pct"/>
            <w:vMerge/>
            <w:shd w:val="clear" w:color="auto" w:fill="E5DFEC" w:themeFill="accent4" w:themeFillTint="33"/>
          </w:tcPr>
          <w:p w:rsidR="00DB34B7" w:rsidRPr="00CF4C4E" w:rsidRDefault="00DB34B7" w:rsidP="00CF4C4E">
            <w:pPr>
              <w:jc w:val="center"/>
              <w:rPr>
                <w:sz w:val="20"/>
                <w:szCs w:val="20"/>
                <w:lang w:val="en-GB"/>
              </w:rPr>
            </w:pPr>
          </w:p>
        </w:tc>
        <w:tc>
          <w:tcPr>
            <w:tcW w:w="553" w:type="pct"/>
            <w:vMerge/>
            <w:shd w:val="clear" w:color="auto" w:fill="E5DFEC" w:themeFill="accent4" w:themeFillTint="33"/>
          </w:tcPr>
          <w:p w:rsidR="00DB34B7" w:rsidRPr="00CF4C4E" w:rsidRDefault="00DB34B7" w:rsidP="00CF4C4E">
            <w:pPr>
              <w:jc w:val="center"/>
              <w:rPr>
                <w:sz w:val="20"/>
                <w:szCs w:val="20"/>
                <w:lang w:val="en-GB"/>
              </w:rPr>
            </w:pPr>
          </w:p>
        </w:tc>
        <w:tc>
          <w:tcPr>
            <w:tcW w:w="407" w:type="pct"/>
            <w:vMerge/>
            <w:shd w:val="clear" w:color="auto" w:fill="E5DFEC" w:themeFill="accent4" w:themeFillTint="33"/>
          </w:tcPr>
          <w:p w:rsidR="00DB34B7" w:rsidRPr="00CF4C4E" w:rsidRDefault="00DB34B7" w:rsidP="00CF4C4E">
            <w:pPr>
              <w:jc w:val="center"/>
              <w:rPr>
                <w:sz w:val="20"/>
                <w:szCs w:val="20"/>
                <w:lang w:val="en-GB"/>
              </w:rPr>
            </w:pPr>
          </w:p>
        </w:tc>
        <w:tc>
          <w:tcPr>
            <w:tcW w:w="648" w:type="pct"/>
            <w:shd w:val="clear" w:color="auto" w:fill="E5DFEC" w:themeFill="accent4" w:themeFillTint="33"/>
          </w:tcPr>
          <w:p w:rsidR="00DB34B7" w:rsidRPr="00CF4C4E" w:rsidRDefault="00DB34B7" w:rsidP="00CF4C4E">
            <w:pPr>
              <w:jc w:val="center"/>
              <w:rPr>
                <w:b/>
                <w:sz w:val="20"/>
                <w:szCs w:val="20"/>
                <w:lang w:val="en-GB"/>
              </w:rPr>
            </w:pPr>
            <w:r w:rsidRPr="00CF4C4E">
              <w:rPr>
                <w:b/>
                <w:bCs/>
                <w:sz w:val="20"/>
                <w:szCs w:val="20"/>
                <w:lang w:val="en-GB"/>
              </w:rPr>
              <w:t>2020</w:t>
            </w:r>
          </w:p>
        </w:tc>
        <w:tc>
          <w:tcPr>
            <w:tcW w:w="538" w:type="pct"/>
            <w:shd w:val="clear" w:color="auto" w:fill="E5DFEC" w:themeFill="accent4" w:themeFillTint="33"/>
          </w:tcPr>
          <w:p w:rsidR="00DB34B7" w:rsidRPr="00CF4C4E" w:rsidRDefault="00DB34B7" w:rsidP="00CF4C4E">
            <w:pPr>
              <w:jc w:val="center"/>
              <w:rPr>
                <w:b/>
                <w:sz w:val="20"/>
                <w:szCs w:val="20"/>
                <w:lang w:val="en-GB"/>
              </w:rPr>
            </w:pPr>
            <w:r w:rsidRPr="00CF4C4E">
              <w:rPr>
                <w:b/>
                <w:bCs/>
                <w:sz w:val="20"/>
                <w:szCs w:val="20"/>
                <w:lang w:val="en-GB"/>
              </w:rPr>
              <w:t>2021</w:t>
            </w:r>
          </w:p>
        </w:tc>
        <w:tc>
          <w:tcPr>
            <w:tcW w:w="763" w:type="pct"/>
            <w:shd w:val="clear" w:color="auto" w:fill="E5DFEC" w:themeFill="accent4" w:themeFillTint="33"/>
          </w:tcPr>
          <w:p w:rsidR="00DB34B7" w:rsidRPr="00CF4C4E" w:rsidRDefault="00DB34B7" w:rsidP="00CF4C4E">
            <w:pPr>
              <w:jc w:val="center"/>
              <w:rPr>
                <w:b/>
                <w:sz w:val="20"/>
                <w:szCs w:val="20"/>
                <w:lang w:val="en-GB"/>
              </w:rPr>
            </w:pPr>
            <w:r w:rsidRPr="00CF4C4E">
              <w:rPr>
                <w:b/>
                <w:bCs/>
                <w:sz w:val="20"/>
                <w:szCs w:val="20"/>
                <w:lang w:val="en-GB"/>
              </w:rPr>
              <w:t>2022</w:t>
            </w:r>
          </w:p>
        </w:tc>
      </w:tr>
      <w:tr w:rsidR="0022234E" w:rsidRPr="00CF4C4E" w:rsidTr="00434EDC">
        <w:trPr>
          <w:trHeight w:val="1159"/>
        </w:trPr>
        <w:tc>
          <w:tcPr>
            <w:tcW w:w="844" w:type="pct"/>
            <w:tcBorders>
              <w:left w:val="double" w:sz="4" w:space="0" w:color="auto"/>
            </w:tcBorders>
          </w:tcPr>
          <w:p w:rsidR="0022234E" w:rsidRPr="00CF4C4E" w:rsidRDefault="0022234E" w:rsidP="00CF4C4E">
            <w:pPr>
              <w:rPr>
                <w:sz w:val="20"/>
                <w:szCs w:val="20"/>
                <w:lang w:val="en-GB"/>
              </w:rPr>
            </w:pPr>
            <w:r w:rsidRPr="00CF4C4E">
              <w:rPr>
                <w:sz w:val="20"/>
                <w:szCs w:val="20"/>
                <w:lang w:val="en-GB"/>
              </w:rPr>
              <w:t>2.3.1. Improve the supervision methodology in line with the updated National Risk Assessment findings</w:t>
            </w:r>
          </w:p>
        </w:tc>
        <w:tc>
          <w:tcPr>
            <w:tcW w:w="403" w:type="pct"/>
          </w:tcPr>
          <w:p w:rsidR="0022234E" w:rsidRPr="00CF4C4E" w:rsidRDefault="00A9340A" w:rsidP="00CF4C4E">
            <w:pPr>
              <w:rPr>
                <w:sz w:val="20"/>
                <w:szCs w:val="20"/>
                <w:lang w:val="en-GB"/>
              </w:rPr>
            </w:pPr>
            <w:r w:rsidRPr="00CF4C4E">
              <w:rPr>
                <w:sz w:val="20"/>
                <w:szCs w:val="20"/>
                <w:lang w:val="en-GB"/>
              </w:rPr>
              <w:t>AML/CFT CB</w:t>
            </w:r>
          </w:p>
        </w:tc>
        <w:tc>
          <w:tcPr>
            <w:tcW w:w="436" w:type="pct"/>
          </w:tcPr>
          <w:p w:rsidR="0022234E" w:rsidRPr="00CF4C4E" w:rsidRDefault="0022234E" w:rsidP="00CF4C4E">
            <w:pPr>
              <w:rPr>
                <w:sz w:val="20"/>
                <w:szCs w:val="20"/>
                <w:lang w:val="en-GB"/>
              </w:rPr>
            </w:pPr>
            <w:r w:rsidRPr="00CF4C4E">
              <w:rPr>
                <w:sz w:val="20"/>
                <w:szCs w:val="20"/>
                <w:lang w:val="en-GB"/>
              </w:rPr>
              <w:t xml:space="preserve">Supervisory authorities </w:t>
            </w:r>
          </w:p>
        </w:tc>
        <w:tc>
          <w:tcPr>
            <w:tcW w:w="408" w:type="pct"/>
          </w:tcPr>
          <w:p w:rsidR="0022234E" w:rsidRPr="00CF4C4E" w:rsidRDefault="0022234E" w:rsidP="00CF4C4E">
            <w:pPr>
              <w:rPr>
                <w:sz w:val="20"/>
                <w:szCs w:val="20"/>
                <w:lang w:val="en-GB"/>
              </w:rPr>
            </w:pPr>
            <w:r w:rsidRPr="00CF4C4E">
              <w:rPr>
                <w:sz w:val="20"/>
                <w:szCs w:val="20"/>
                <w:lang w:val="en-GB"/>
              </w:rPr>
              <w:t>IV quarter of 2022</w:t>
            </w:r>
          </w:p>
        </w:tc>
        <w:tc>
          <w:tcPr>
            <w:tcW w:w="553" w:type="pct"/>
          </w:tcPr>
          <w:p w:rsidR="0022234E" w:rsidRPr="00CF4C4E" w:rsidRDefault="0022234E" w:rsidP="00CF4C4E">
            <w:pPr>
              <w:rPr>
                <w:sz w:val="20"/>
                <w:szCs w:val="20"/>
                <w:lang w:val="en-GB"/>
              </w:rPr>
            </w:pPr>
            <w:r w:rsidRPr="00CF4C4E">
              <w:rPr>
                <w:sz w:val="20"/>
                <w:szCs w:val="20"/>
                <w:lang w:val="en-GB"/>
              </w:rPr>
              <w:t>Financed as part of regular activities of staff</w:t>
            </w:r>
          </w:p>
        </w:tc>
        <w:tc>
          <w:tcPr>
            <w:tcW w:w="407" w:type="pct"/>
          </w:tcPr>
          <w:p w:rsidR="0022234E" w:rsidRPr="00CF4C4E" w:rsidRDefault="0022234E" w:rsidP="00CF4C4E">
            <w:pPr>
              <w:rPr>
                <w:sz w:val="20"/>
                <w:szCs w:val="20"/>
                <w:lang w:val="en-GB"/>
              </w:rPr>
            </w:pPr>
          </w:p>
        </w:tc>
        <w:tc>
          <w:tcPr>
            <w:tcW w:w="648" w:type="pct"/>
          </w:tcPr>
          <w:p w:rsidR="0022234E" w:rsidRPr="00CF4C4E" w:rsidRDefault="0022234E" w:rsidP="00CF4C4E">
            <w:pPr>
              <w:rPr>
                <w:sz w:val="20"/>
                <w:szCs w:val="20"/>
                <w:lang w:val="en-GB"/>
              </w:rPr>
            </w:pPr>
          </w:p>
        </w:tc>
        <w:tc>
          <w:tcPr>
            <w:tcW w:w="538" w:type="pct"/>
          </w:tcPr>
          <w:p w:rsidR="0022234E" w:rsidRPr="00CF4C4E" w:rsidRDefault="0022234E" w:rsidP="00CF4C4E">
            <w:pPr>
              <w:rPr>
                <w:sz w:val="20"/>
                <w:szCs w:val="20"/>
                <w:lang w:val="en-GB"/>
              </w:rPr>
            </w:pPr>
          </w:p>
        </w:tc>
        <w:tc>
          <w:tcPr>
            <w:tcW w:w="763" w:type="pct"/>
          </w:tcPr>
          <w:p w:rsidR="0022234E" w:rsidRPr="00CF4C4E" w:rsidRDefault="0022234E" w:rsidP="00CF4C4E">
            <w:pPr>
              <w:rPr>
                <w:sz w:val="20"/>
                <w:szCs w:val="20"/>
                <w:lang w:val="en-GB"/>
              </w:rPr>
            </w:pPr>
          </w:p>
        </w:tc>
      </w:tr>
      <w:tr w:rsidR="0022234E" w:rsidRPr="00CF4C4E" w:rsidTr="00CF4C4E">
        <w:trPr>
          <w:trHeight w:val="1473"/>
        </w:trPr>
        <w:tc>
          <w:tcPr>
            <w:tcW w:w="844" w:type="pct"/>
            <w:tcBorders>
              <w:left w:val="double" w:sz="4" w:space="0" w:color="auto"/>
            </w:tcBorders>
          </w:tcPr>
          <w:p w:rsidR="0022234E" w:rsidRPr="00CF4C4E" w:rsidRDefault="0022234E" w:rsidP="00CF4C4E">
            <w:pPr>
              <w:rPr>
                <w:sz w:val="20"/>
                <w:szCs w:val="20"/>
                <w:lang w:val="en-GB"/>
              </w:rPr>
            </w:pPr>
            <w:r w:rsidRPr="00CF4C4E">
              <w:rPr>
                <w:sz w:val="20"/>
                <w:szCs w:val="20"/>
                <w:lang w:val="en-GB"/>
              </w:rPr>
              <w:t>2.3.2. Ensure consistency between supervisors’ regulations (i.e. ML/TF risk assessment guidelines) and the amended AML/CFT Law</w:t>
            </w:r>
          </w:p>
        </w:tc>
        <w:tc>
          <w:tcPr>
            <w:tcW w:w="403" w:type="pct"/>
          </w:tcPr>
          <w:p w:rsidR="0022234E" w:rsidRPr="00CF4C4E" w:rsidRDefault="00073345" w:rsidP="00CF4C4E">
            <w:pPr>
              <w:rPr>
                <w:sz w:val="20"/>
                <w:szCs w:val="20"/>
                <w:lang w:val="en-GB"/>
              </w:rPr>
            </w:pPr>
            <w:r w:rsidRPr="00CF4C4E">
              <w:rPr>
                <w:sz w:val="20"/>
                <w:szCs w:val="20"/>
                <w:lang w:val="en-GB"/>
              </w:rPr>
              <w:t>AML/CFT CB</w:t>
            </w:r>
          </w:p>
        </w:tc>
        <w:tc>
          <w:tcPr>
            <w:tcW w:w="436" w:type="pct"/>
          </w:tcPr>
          <w:p w:rsidR="0022234E" w:rsidRPr="00CF4C4E" w:rsidRDefault="0022234E" w:rsidP="00CF4C4E">
            <w:pPr>
              <w:rPr>
                <w:sz w:val="20"/>
                <w:szCs w:val="20"/>
                <w:lang w:val="en-GB"/>
              </w:rPr>
            </w:pPr>
            <w:r w:rsidRPr="00CF4C4E">
              <w:rPr>
                <w:sz w:val="20"/>
                <w:szCs w:val="20"/>
                <w:lang w:val="en-GB"/>
              </w:rPr>
              <w:t xml:space="preserve">Supervisory authorities </w:t>
            </w:r>
          </w:p>
        </w:tc>
        <w:tc>
          <w:tcPr>
            <w:tcW w:w="408" w:type="pct"/>
          </w:tcPr>
          <w:p w:rsidR="0022234E" w:rsidRPr="00CF4C4E" w:rsidRDefault="0022234E" w:rsidP="00CF4C4E">
            <w:pPr>
              <w:rPr>
                <w:sz w:val="20"/>
                <w:szCs w:val="20"/>
                <w:lang w:val="en-GB"/>
              </w:rPr>
            </w:pPr>
            <w:r w:rsidRPr="00CF4C4E">
              <w:rPr>
                <w:sz w:val="20"/>
                <w:szCs w:val="20"/>
                <w:lang w:val="en-GB"/>
              </w:rPr>
              <w:t>April 2020</w:t>
            </w:r>
          </w:p>
        </w:tc>
        <w:tc>
          <w:tcPr>
            <w:tcW w:w="553" w:type="pct"/>
          </w:tcPr>
          <w:p w:rsidR="0022234E" w:rsidRPr="00CF4C4E" w:rsidRDefault="0022234E" w:rsidP="00CF4C4E">
            <w:pPr>
              <w:rPr>
                <w:sz w:val="20"/>
                <w:szCs w:val="20"/>
                <w:lang w:val="en-GB"/>
              </w:rPr>
            </w:pPr>
            <w:r w:rsidRPr="00CF4C4E">
              <w:rPr>
                <w:sz w:val="20"/>
                <w:szCs w:val="20"/>
                <w:lang w:val="en-GB"/>
              </w:rPr>
              <w:t xml:space="preserve">Financed as part of regular activities of staff </w:t>
            </w:r>
          </w:p>
        </w:tc>
        <w:tc>
          <w:tcPr>
            <w:tcW w:w="407" w:type="pct"/>
          </w:tcPr>
          <w:p w:rsidR="0022234E" w:rsidRPr="00CF4C4E" w:rsidRDefault="0022234E" w:rsidP="00CF4C4E">
            <w:pPr>
              <w:rPr>
                <w:sz w:val="20"/>
                <w:szCs w:val="20"/>
                <w:lang w:val="en-GB"/>
              </w:rPr>
            </w:pPr>
          </w:p>
        </w:tc>
        <w:tc>
          <w:tcPr>
            <w:tcW w:w="648" w:type="pct"/>
          </w:tcPr>
          <w:p w:rsidR="0022234E" w:rsidRPr="00CF4C4E" w:rsidRDefault="0022234E" w:rsidP="00CF4C4E">
            <w:pPr>
              <w:rPr>
                <w:sz w:val="20"/>
                <w:szCs w:val="20"/>
                <w:lang w:val="en-GB"/>
              </w:rPr>
            </w:pPr>
          </w:p>
        </w:tc>
        <w:tc>
          <w:tcPr>
            <w:tcW w:w="538" w:type="pct"/>
          </w:tcPr>
          <w:p w:rsidR="0022234E" w:rsidRPr="00CF4C4E" w:rsidRDefault="0022234E" w:rsidP="00CF4C4E">
            <w:pPr>
              <w:rPr>
                <w:sz w:val="20"/>
                <w:szCs w:val="20"/>
                <w:lang w:val="en-GB"/>
              </w:rPr>
            </w:pPr>
          </w:p>
        </w:tc>
        <w:tc>
          <w:tcPr>
            <w:tcW w:w="763" w:type="pct"/>
          </w:tcPr>
          <w:p w:rsidR="0022234E" w:rsidRPr="00CF4C4E" w:rsidRDefault="0022234E" w:rsidP="00CF4C4E">
            <w:pPr>
              <w:rPr>
                <w:sz w:val="20"/>
                <w:szCs w:val="20"/>
                <w:lang w:val="en-GB"/>
              </w:rPr>
            </w:pPr>
          </w:p>
        </w:tc>
      </w:tr>
      <w:tr w:rsidR="0022234E" w:rsidRPr="00CF4C4E" w:rsidTr="00DB34B7">
        <w:trPr>
          <w:trHeight w:val="1127"/>
        </w:trPr>
        <w:tc>
          <w:tcPr>
            <w:tcW w:w="844" w:type="pct"/>
            <w:tcBorders>
              <w:left w:val="double" w:sz="4" w:space="0" w:color="auto"/>
            </w:tcBorders>
          </w:tcPr>
          <w:p w:rsidR="0022234E" w:rsidRPr="00CF4C4E" w:rsidRDefault="0022234E" w:rsidP="00CF4C4E">
            <w:pPr>
              <w:rPr>
                <w:sz w:val="20"/>
                <w:szCs w:val="20"/>
                <w:lang w:val="en-GB"/>
              </w:rPr>
            </w:pPr>
            <w:r w:rsidRPr="00CF4C4E">
              <w:rPr>
                <w:sz w:val="20"/>
                <w:szCs w:val="20"/>
                <w:lang w:val="en-GB"/>
              </w:rPr>
              <w:lastRenderedPageBreak/>
              <w:t>2.3.3. Develop a work methodology and risk matrices for entities engaged in postal communication</w:t>
            </w:r>
          </w:p>
        </w:tc>
        <w:tc>
          <w:tcPr>
            <w:tcW w:w="403" w:type="pct"/>
          </w:tcPr>
          <w:p w:rsidR="0022234E" w:rsidRPr="00CF4C4E" w:rsidRDefault="0022234E" w:rsidP="00CF4C4E">
            <w:pPr>
              <w:rPr>
                <w:sz w:val="20"/>
                <w:szCs w:val="20"/>
                <w:lang w:val="en-GB"/>
              </w:rPr>
            </w:pPr>
            <w:r w:rsidRPr="00CF4C4E">
              <w:rPr>
                <w:sz w:val="20"/>
                <w:szCs w:val="20"/>
                <w:lang w:val="en-GB"/>
              </w:rPr>
              <w:t>MTT - Team for supervision of postal communication</w:t>
            </w:r>
          </w:p>
        </w:tc>
        <w:tc>
          <w:tcPr>
            <w:tcW w:w="436" w:type="pct"/>
          </w:tcPr>
          <w:p w:rsidR="0022234E" w:rsidRPr="00CF4C4E" w:rsidRDefault="0022234E" w:rsidP="00CF4C4E">
            <w:pPr>
              <w:rPr>
                <w:sz w:val="20"/>
                <w:szCs w:val="20"/>
                <w:lang w:val="en-GB"/>
              </w:rPr>
            </w:pPr>
            <w:r w:rsidRPr="00CF4C4E">
              <w:rPr>
                <w:sz w:val="20"/>
                <w:szCs w:val="20"/>
                <w:lang w:val="en-GB"/>
              </w:rPr>
              <w:t>APML</w:t>
            </w:r>
          </w:p>
        </w:tc>
        <w:tc>
          <w:tcPr>
            <w:tcW w:w="408" w:type="pct"/>
          </w:tcPr>
          <w:p w:rsidR="0022234E" w:rsidRPr="00CF4C4E" w:rsidRDefault="0022234E" w:rsidP="00CF4C4E">
            <w:pPr>
              <w:rPr>
                <w:sz w:val="20"/>
                <w:szCs w:val="20"/>
                <w:lang w:val="en-GB"/>
              </w:rPr>
            </w:pPr>
            <w:r w:rsidRPr="00CF4C4E">
              <w:rPr>
                <w:sz w:val="20"/>
                <w:szCs w:val="20"/>
                <w:lang w:val="en-GB"/>
              </w:rPr>
              <w:t>June 2020</w:t>
            </w:r>
          </w:p>
        </w:tc>
        <w:tc>
          <w:tcPr>
            <w:tcW w:w="553" w:type="pct"/>
          </w:tcPr>
          <w:p w:rsidR="0022234E" w:rsidRPr="00CF4C4E" w:rsidRDefault="0022234E" w:rsidP="00CF4C4E">
            <w:pPr>
              <w:rPr>
                <w:sz w:val="20"/>
                <w:szCs w:val="20"/>
                <w:lang w:val="en-GB"/>
              </w:rPr>
            </w:pPr>
            <w:r w:rsidRPr="00CF4C4E">
              <w:rPr>
                <w:sz w:val="20"/>
                <w:szCs w:val="20"/>
                <w:lang w:val="en-GB"/>
              </w:rPr>
              <w:t>Financed as part of regular activities of staff</w:t>
            </w:r>
          </w:p>
        </w:tc>
        <w:tc>
          <w:tcPr>
            <w:tcW w:w="407" w:type="pct"/>
          </w:tcPr>
          <w:p w:rsidR="0022234E" w:rsidRPr="00CF4C4E" w:rsidRDefault="0022234E" w:rsidP="00CF4C4E">
            <w:pPr>
              <w:rPr>
                <w:sz w:val="20"/>
                <w:szCs w:val="20"/>
                <w:lang w:val="en-GB"/>
              </w:rPr>
            </w:pPr>
          </w:p>
        </w:tc>
        <w:tc>
          <w:tcPr>
            <w:tcW w:w="648" w:type="pct"/>
          </w:tcPr>
          <w:p w:rsidR="0022234E" w:rsidRPr="00CF4C4E" w:rsidRDefault="0022234E" w:rsidP="00CF4C4E">
            <w:pPr>
              <w:rPr>
                <w:sz w:val="20"/>
                <w:szCs w:val="20"/>
                <w:lang w:val="en-GB"/>
              </w:rPr>
            </w:pPr>
          </w:p>
        </w:tc>
        <w:tc>
          <w:tcPr>
            <w:tcW w:w="538" w:type="pct"/>
          </w:tcPr>
          <w:p w:rsidR="0022234E" w:rsidRPr="00CF4C4E" w:rsidRDefault="0022234E" w:rsidP="00CF4C4E">
            <w:pPr>
              <w:rPr>
                <w:sz w:val="20"/>
                <w:szCs w:val="20"/>
                <w:lang w:val="en-GB"/>
              </w:rPr>
            </w:pPr>
          </w:p>
        </w:tc>
        <w:tc>
          <w:tcPr>
            <w:tcW w:w="763" w:type="pct"/>
          </w:tcPr>
          <w:p w:rsidR="0022234E" w:rsidRPr="00CF4C4E" w:rsidRDefault="0022234E" w:rsidP="00CF4C4E">
            <w:pPr>
              <w:rPr>
                <w:sz w:val="20"/>
                <w:szCs w:val="20"/>
                <w:lang w:val="en-GB"/>
              </w:rPr>
            </w:pPr>
          </w:p>
        </w:tc>
      </w:tr>
      <w:tr w:rsidR="0022234E" w:rsidRPr="00CF4C4E" w:rsidTr="00DB34B7">
        <w:trPr>
          <w:trHeight w:val="988"/>
        </w:trPr>
        <w:tc>
          <w:tcPr>
            <w:tcW w:w="844" w:type="pct"/>
            <w:tcBorders>
              <w:left w:val="double" w:sz="4" w:space="0" w:color="auto"/>
            </w:tcBorders>
          </w:tcPr>
          <w:p w:rsidR="0022234E" w:rsidRPr="00CF4C4E" w:rsidRDefault="0022234E" w:rsidP="00CF4C4E">
            <w:pPr>
              <w:rPr>
                <w:sz w:val="20"/>
                <w:szCs w:val="20"/>
                <w:lang w:val="en-GB"/>
              </w:rPr>
            </w:pPr>
            <w:r w:rsidRPr="00CF4C4E">
              <w:rPr>
                <w:sz w:val="20"/>
                <w:szCs w:val="20"/>
                <w:lang w:val="en-GB"/>
              </w:rPr>
              <w:t>2.3.4. Develop or improve, as appropriate, lists of indicators for recognising suspicious activities to be used by obliged entities</w:t>
            </w:r>
          </w:p>
        </w:tc>
        <w:tc>
          <w:tcPr>
            <w:tcW w:w="403" w:type="pct"/>
          </w:tcPr>
          <w:p w:rsidR="0022234E" w:rsidRPr="00CF4C4E" w:rsidRDefault="0022234E" w:rsidP="00CF4C4E">
            <w:pPr>
              <w:rPr>
                <w:sz w:val="20"/>
                <w:szCs w:val="20"/>
                <w:lang w:val="en-GB"/>
              </w:rPr>
            </w:pPr>
            <w:r w:rsidRPr="00CF4C4E">
              <w:rPr>
                <w:sz w:val="20"/>
                <w:szCs w:val="20"/>
                <w:lang w:val="en-GB"/>
              </w:rPr>
              <w:t>APML</w:t>
            </w:r>
          </w:p>
        </w:tc>
        <w:tc>
          <w:tcPr>
            <w:tcW w:w="436" w:type="pct"/>
          </w:tcPr>
          <w:p w:rsidR="0022234E" w:rsidRPr="00CF4C4E" w:rsidRDefault="0022234E" w:rsidP="00CF4C4E">
            <w:pPr>
              <w:rPr>
                <w:sz w:val="20"/>
                <w:szCs w:val="20"/>
                <w:lang w:val="en-GB"/>
              </w:rPr>
            </w:pPr>
            <w:r w:rsidRPr="00CF4C4E">
              <w:rPr>
                <w:sz w:val="20"/>
                <w:szCs w:val="20"/>
                <w:lang w:val="en-GB"/>
              </w:rPr>
              <w:t xml:space="preserve">Supervisory authorities </w:t>
            </w:r>
          </w:p>
        </w:tc>
        <w:tc>
          <w:tcPr>
            <w:tcW w:w="408" w:type="pct"/>
          </w:tcPr>
          <w:p w:rsidR="0022234E" w:rsidRPr="00CF4C4E" w:rsidRDefault="0022234E" w:rsidP="00CF4C4E">
            <w:pPr>
              <w:rPr>
                <w:sz w:val="20"/>
                <w:szCs w:val="20"/>
                <w:lang w:val="en-GB"/>
              </w:rPr>
            </w:pPr>
            <w:r w:rsidRPr="00CF4C4E">
              <w:rPr>
                <w:sz w:val="20"/>
                <w:szCs w:val="20"/>
                <w:lang w:val="en-GB"/>
              </w:rPr>
              <w:t>IV quarter of 2022 (continuous activity)</w:t>
            </w:r>
          </w:p>
        </w:tc>
        <w:tc>
          <w:tcPr>
            <w:tcW w:w="553" w:type="pct"/>
          </w:tcPr>
          <w:p w:rsidR="0022234E" w:rsidRPr="00CF4C4E" w:rsidRDefault="0022234E" w:rsidP="00CF4C4E">
            <w:pPr>
              <w:rPr>
                <w:sz w:val="20"/>
                <w:szCs w:val="20"/>
                <w:lang w:val="en-GB"/>
              </w:rPr>
            </w:pPr>
            <w:r w:rsidRPr="00CF4C4E">
              <w:rPr>
                <w:sz w:val="20"/>
                <w:szCs w:val="20"/>
                <w:lang w:val="en-GB"/>
              </w:rPr>
              <w:t>Financed as part of regular activities of staff</w:t>
            </w:r>
          </w:p>
        </w:tc>
        <w:tc>
          <w:tcPr>
            <w:tcW w:w="407" w:type="pct"/>
          </w:tcPr>
          <w:p w:rsidR="0022234E" w:rsidRPr="00CF4C4E" w:rsidRDefault="0022234E" w:rsidP="00CF4C4E">
            <w:pPr>
              <w:rPr>
                <w:sz w:val="20"/>
                <w:szCs w:val="20"/>
                <w:lang w:val="en-GB"/>
              </w:rPr>
            </w:pPr>
          </w:p>
        </w:tc>
        <w:tc>
          <w:tcPr>
            <w:tcW w:w="648" w:type="pct"/>
          </w:tcPr>
          <w:p w:rsidR="0022234E" w:rsidRPr="00CF4C4E" w:rsidRDefault="0022234E" w:rsidP="00CF4C4E">
            <w:pPr>
              <w:rPr>
                <w:sz w:val="20"/>
                <w:szCs w:val="20"/>
                <w:lang w:val="en-GB"/>
              </w:rPr>
            </w:pPr>
          </w:p>
        </w:tc>
        <w:tc>
          <w:tcPr>
            <w:tcW w:w="538" w:type="pct"/>
          </w:tcPr>
          <w:p w:rsidR="0022234E" w:rsidRPr="00CF4C4E" w:rsidRDefault="0022234E" w:rsidP="00CF4C4E">
            <w:pPr>
              <w:rPr>
                <w:sz w:val="20"/>
                <w:szCs w:val="20"/>
                <w:lang w:val="en-GB"/>
              </w:rPr>
            </w:pPr>
          </w:p>
        </w:tc>
        <w:tc>
          <w:tcPr>
            <w:tcW w:w="763" w:type="pct"/>
          </w:tcPr>
          <w:p w:rsidR="0022234E" w:rsidRPr="00CF4C4E" w:rsidRDefault="0022234E" w:rsidP="00CF4C4E">
            <w:pPr>
              <w:rPr>
                <w:sz w:val="20"/>
                <w:szCs w:val="20"/>
                <w:lang w:val="en-GB"/>
              </w:rPr>
            </w:pPr>
          </w:p>
        </w:tc>
      </w:tr>
      <w:tr w:rsidR="0022234E" w:rsidRPr="00CF4C4E" w:rsidTr="00867224">
        <w:trPr>
          <w:trHeight w:val="339"/>
        </w:trPr>
        <w:tc>
          <w:tcPr>
            <w:tcW w:w="844" w:type="pct"/>
            <w:tcBorders>
              <w:left w:val="double" w:sz="4" w:space="0" w:color="auto"/>
            </w:tcBorders>
          </w:tcPr>
          <w:p w:rsidR="0022234E" w:rsidRPr="00CF4C4E" w:rsidRDefault="0022234E" w:rsidP="00CF4C4E">
            <w:pPr>
              <w:rPr>
                <w:sz w:val="20"/>
                <w:szCs w:val="20"/>
                <w:lang w:val="en-GB"/>
              </w:rPr>
            </w:pPr>
            <w:r w:rsidRPr="00CF4C4E">
              <w:rPr>
                <w:sz w:val="20"/>
                <w:szCs w:val="20"/>
                <w:lang w:val="en-GB"/>
              </w:rPr>
              <w:t>2.3.5. Analyse capacities (staffing, technical, financial) of relevant institutions and ensure professional development of staff of various AML/CFT institutions (with respect to the AML/CFT Law, Law on Freezing of Assets with the Aim of Preventing Terrorism and Proliferation of WMD)</w:t>
            </w:r>
          </w:p>
        </w:tc>
        <w:tc>
          <w:tcPr>
            <w:tcW w:w="403" w:type="pct"/>
          </w:tcPr>
          <w:p w:rsidR="0022234E" w:rsidRPr="00CF4C4E" w:rsidRDefault="00A9340A" w:rsidP="00CF4C4E">
            <w:pPr>
              <w:rPr>
                <w:sz w:val="20"/>
                <w:szCs w:val="20"/>
                <w:lang w:val="en-GB"/>
              </w:rPr>
            </w:pPr>
            <w:r w:rsidRPr="00CF4C4E">
              <w:rPr>
                <w:sz w:val="20"/>
                <w:szCs w:val="20"/>
                <w:lang w:val="en-GB"/>
              </w:rPr>
              <w:t>AML/CFT CB</w:t>
            </w:r>
          </w:p>
        </w:tc>
        <w:tc>
          <w:tcPr>
            <w:tcW w:w="436" w:type="pct"/>
          </w:tcPr>
          <w:p w:rsidR="0022234E" w:rsidRPr="00CF4C4E" w:rsidRDefault="0022234E" w:rsidP="00CF4C4E">
            <w:pPr>
              <w:rPr>
                <w:sz w:val="20"/>
                <w:szCs w:val="20"/>
                <w:lang w:val="en-GB"/>
              </w:rPr>
            </w:pPr>
            <w:r w:rsidRPr="00CF4C4E">
              <w:rPr>
                <w:sz w:val="20"/>
                <w:szCs w:val="20"/>
                <w:lang w:val="en-GB"/>
              </w:rPr>
              <w:t>Line ministries and supervisors</w:t>
            </w:r>
          </w:p>
        </w:tc>
        <w:tc>
          <w:tcPr>
            <w:tcW w:w="408" w:type="pct"/>
          </w:tcPr>
          <w:p w:rsidR="0022234E" w:rsidRPr="00CF4C4E" w:rsidRDefault="00074670" w:rsidP="00CF4C4E">
            <w:pPr>
              <w:rPr>
                <w:sz w:val="20"/>
                <w:szCs w:val="20"/>
                <w:lang w:val="en-GB"/>
              </w:rPr>
            </w:pPr>
            <w:r w:rsidRPr="00CF4C4E">
              <w:rPr>
                <w:sz w:val="20"/>
                <w:szCs w:val="20"/>
                <w:lang w:val="en-GB"/>
              </w:rPr>
              <w:t xml:space="preserve">IV quarter of 2021 </w:t>
            </w:r>
          </w:p>
        </w:tc>
        <w:tc>
          <w:tcPr>
            <w:tcW w:w="553" w:type="pct"/>
          </w:tcPr>
          <w:p w:rsidR="0022234E" w:rsidRPr="00CF4C4E" w:rsidRDefault="0022234E" w:rsidP="00CF4C4E">
            <w:pPr>
              <w:rPr>
                <w:sz w:val="20"/>
                <w:szCs w:val="20"/>
                <w:lang w:val="en-GB"/>
              </w:rPr>
            </w:pPr>
            <w:r w:rsidRPr="00CF4C4E">
              <w:rPr>
                <w:sz w:val="20"/>
                <w:szCs w:val="20"/>
                <w:lang w:val="en-GB"/>
              </w:rPr>
              <w:t>Financed as part of regular activities of staff</w:t>
            </w:r>
          </w:p>
        </w:tc>
        <w:tc>
          <w:tcPr>
            <w:tcW w:w="407" w:type="pct"/>
          </w:tcPr>
          <w:p w:rsidR="0022234E" w:rsidRPr="00CF4C4E" w:rsidRDefault="0022234E" w:rsidP="00CF4C4E">
            <w:pPr>
              <w:rPr>
                <w:sz w:val="20"/>
                <w:szCs w:val="20"/>
                <w:lang w:val="en-GB"/>
              </w:rPr>
            </w:pPr>
          </w:p>
        </w:tc>
        <w:tc>
          <w:tcPr>
            <w:tcW w:w="648" w:type="pct"/>
          </w:tcPr>
          <w:p w:rsidR="0022234E" w:rsidRPr="00CF4C4E" w:rsidRDefault="0022234E" w:rsidP="00CF4C4E">
            <w:pPr>
              <w:rPr>
                <w:sz w:val="20"/>
                <w:szCs w:val="20"/>
                <w:lang w:val="en-GB"/>
              </w:rPr>
            </w:pPr>
          </w:p>
        </w:tc>
        <w:tc>
          <w:tcPr>
            <w:tcW w:w="538" w:type="pct"/>
          </w:tcPr>
          <w:p w:rsidR="0022234E" w:rsidRPr="00CF4C4E" w:rsidRDefault="0022234E" w:rsidP="00CF4C4E">
            <w:pPr>
              <w:rPr>
                <w:sz w:val="20"/>
                <w:szCs w:val="20"/>
                <w:lang w:val="en-GB"/>
              </w:rPr>
            </w:pPr>
          </w:p>
        </w:tc>
        <w:tc>
          <w:tcPr>
            <w:tcW w:w="763" w:type="pct"/>
          </w:tcPr>
          <w:p w:rsidR="0022234E" w:rsidRPr="00CF4C4E" w:rsidRDefault="0022234E" w:rsidP="00CF4C4E">
            <w:pPr>
              <w:rPr>
                <w:sz w:val="20"/>
                <w:szCs w:val="20"/>
                <w:lang w:val="en-GB"/>
              </w:rPr>
            </w:pPr>
          </w:p>
        </w:tc>
      </w:tr>
      <w:tr w:rsidR="00074670" w:rsidRPr="00CF4C4E" w:rsidTr="00867224">
        <w:trPr>
          <w:trHeight w:val="339"/>
        </w:trPr>
        <w:tc>
          <w:tcPr>
            <w:tcW w:w="844" w:type="pct"/>
            <w:tcBorders>
              <w:left w:val="double" w:sz="4" w:space="0" w:color="auto"/>
            </w:tcBorders>
          </w:tcPr>
          <w:p w:rsidR="00074670" w:rsidRPr="00CF4C4E" w:rsidRDefault="00074670" w:rsidP="00CF4C4E">
            <w:pPr>
              <w:rPr>
                <w:sz w:val="20"/>
                <w:szCs w:val="20"/>
                <w:lang w:val="en-GB"/>
              </w:rPr>
            </w:pPr>
            <w:r w:rsidRPr="00CF4C4E">
              <w:rPr>
                <w:sz w:val="20"/>
                <w:szCs w:val="20"/>
                <w:lang w:val="en-GB"/>
              </w:rPr>
              <w:t>2.3.6 Improve capacities of supervisory authorities, as appropriate, in accordance with the findings of the analysis under activity 2.3.5.</w:t>
            </w:r>
          </w:p>
        </w:tc>
        <w:tc>
          <w:tcPr>
            <w:tcW w:w="403" w:type="pct"/>
          </w:tcPr>
          <w:p w:rsidR="00074670" w:rsidRPr="00CF4C4E" w:rsidRDefault="00A9340A" w:rsidP="00CF4C4E">
            <w:pPr>
              <w:rPr>
                <w:sz w:val="20"/>
                <w:szCs w:val="20"/>
                <w:lang w:val="en-GB"/>
              </w:rPr>
            </w:pPr>
            <w:r w:rsidRPr="00CF4C4E">
              <w:rPr>
                <w:sz w:val="20"/>
                <w:szCs w:val="20"/>
                <w:lang w:val="en-GB"/>
              </w:rPr>
              <w:t>GoS</w:t>
            </w:r>
          </w:p>
        </w:tc>
        <w:tc>
          <w:tcPr>
            <w:tcW w:w="436" w:type="pct"/>
          </w:tcPr>
          <w:p w:rsidR="00074670" w:rsidRPr="00CF4C4E" w:rsidRDefault="00074670" w:rsidP="00CF4C4E">
            <w:pPr>
              <w:rPr>
                <w:sz w:val="20"/>
                <w:szCs w:val="20"/>
                <w:lang w:val="en-GB"/>
              </w:rPr>
            </w:pPr>
            <w:r w:rsidRPr="00CF4C4E">
              <w:rPr>
                <w:sz w:val="20"/>
                <w:szCs w:val="20"/>
                <w:lang w:val="en-GB"/>
              </w:rPr>
              <w:t>Supervisory authorities</w:t>
            </w:r>
          </w:p>
        </w:tc>
        <w:tc>
          <w:tcPr>
            <w:tcW w:w="408" w:type="pct"/>
          </w:tcPr>
          <w:p w:rsidR="00074670" w:rsidRPr="00CF4C4E" w:rsidRDefault="00074670" w:rsidP="00CF4C4E">
            <w:pPr>
              <w:rPr>
                <w:sz w:val="20"/>
                <w:szCs w:val="20"/>
                <w:lang w:val="en-GB"/>
              </w:rPr>
            </w:pPr>
            <w:r w:rsidRPr="00CF4C4E">
              <w:rPr>
                <w:sz w:val="20"/>
                <w:szCs w:val="20"/>
                <w:lang w:val="en-GB"/>
              </w:rPr>
              <w:t xml:space="preserve">IV quarter of 2022 </w:t>
            </w:r>
          </w:p>
        </w:tc>
        <w:tc>
          <w:tcPr>
            <w:tcW w:w="553" w:type="pct"/>
          </w:tcPr>
          <w:p w:rsidR="00074670" w:rsidRPr="00CF4C4E" w:rsidRDefault="00074670" w:rsidP="00CF4C4E">
            <w:pPr>
              <w:rPr>
                <w:sz w:val="20"/>
                <w:szCs w:val="20"/>
                <w:lang w:val="en-GB"/>
              </w:rPr>
            </w:pPr>
            <w:r w:rsidRPr="00CF4C4E">
              <w:rPr>
                <w:sz w:val="20"/>
                <w:szCs w:val="20"/>
                <w:lang w:val="en-GB"/>
              </w:rPr>
              <w:t>According to the analysis</w:t>
            </w:r>
          </w:p>
        </w:tc>
        <w:tc>
          <w:tcPr>
            <w:tcW w:w="407" w:type="pct"/>
          </w:tcPr>
          <w:p w:rsidR="00074670" w:rsidRPr="00CF4C4E" w:rsidRDefault="00074670" w:rsidP="00CF4C4E">
            <w:pPr>
              <w:rPr>
                <w:sz w:val="20"/>
                <w:szCs w:val="20"/>
                <w:lang w:val="en-GB"/>
              </w:rPr>
            </w:pPr>
          </w:p>
        </w:tc>
        <w:tc>
          <w:tcPr>
            <w:tcW w:w="648" w:type="pct"/>
          </w:tcPr>
          <w:p w:rsidR="00074670" w:rsidRPr="00CF4C4E" w:rsidRDefault="00074670" w:rsidP="00CF4C4E">
            <w:pPr>
              <w:rPr>
                <w:sz w:val="20"/>
                <w:szCs w:val="20"/>
                <w:lang w:val="en-GB"/>
              </w:rPr>
            </w:pPr>
          </w:p>
        </w:tc>
        <w:tc>
          <w:tcPr>
            <w:tcW w:w="538" w:type="pct"/>
          </w:tcPr>
          <w:p w:rsidR="00074670" w:rsidRPr="00CF4C4E" w:rsidRDefault="00074670" w:rsidP="00CF4C4E">
            <w:pPr>
              <w:rPr>
                <w:sz w:val="20"/>
                <w:szCs w:val="20"/>
                <w:lang w:val="en-GB"/>
              </w:rPr>
            </w:pPr>
          </w:p>
        </w:tc>
        <w:tc>
          <w:tcPr>
            <w:tcW w:w="763" w:type="pct"/>
          </w:tcPr>
          <w:p w:rsidR="00074670" w:rsidRPr="00CF4C4E" w:rsidRDefault="00074670" w:rsidP="00CF4C4E">
            <w:pPr>
              <w:rPr>
                <w:sz w:val="20"/>
                <w:szCs w:val="20"/>
                <w:lang w:val="en-GB"/>
              </w:rPr>
            </w:pPr>
          </w:p>
        </w:tc>
      </w:tr>
      <w:tr w:rsidR="00074670" w:rsidRPr="00CF4C4E" w:rsidTr="00DB34B7">
        <w:trPr>
          <w:trHeight w:val="140"/>
        </w:trPr>
        <w:tc>
          <w:tcPr>
            <w:tcW w:w="844" w:type="pct"/>
            <w:tcBorders>
              <w:left w:val="double" w:sz="4" w:space="0" w:color="auto"/>
            </w:tcBorders>
            <w:shd w:val="clear" w:color="auto" w:fill="auto"/>
          </w:tcPr>
          <w:p w:rsidR="00074670" w:rsidRPr="00CF4C4E" w:rsidRDefault="00074670" w:rsidP="00CF4C4E">
            <w:pPr>
              <w:rPr>
                <w:sz w:val="20"/>
                <w:szCs w:val="20"/>
                <w:lang w:val="en-GB"/>
              </w:rPr>
            </w:pPr>
            <w:r w:rsidRPr="00CF4C4E">
              <w:rPr>
                <w:sz w:val="20"/>
                <w:szCs w:val="20"/>
                <w:lang w:val="en-GB"/>
              </w:rPr>
              <w:t xml:space="preserve">2.3.7. Ensure that the all sectors adopt RBA in supervision taking into </w:t>
            </w:r>
            <w:r w:rsidRPr="00CF4C4E">
              <w:rPr>
                <w:sz w:val="20"/>
                <w:szCs w:val="20"/>
                <w:lang w:val="en-GB"/>
              </w:rPr>
              <w:lastRenderedPageBreak/>
              <w:t>account the sectoral risk profile identified in the updated NRA, including in onsite and offsite examinations</w:t>
            </w:r>
          </w:p>
        </w:tc>
        <w:tc>
          <w:tcPr>
            <w:tcW w:w="403" w:type="pct"/>
            <w:shd w:val="clear" w:color="auto" w:fill="auto"/>
          </w:tcPr>
          <w:p w:rsidR="00074670" w:rsidRPr="00CF4C4E" w:rsidRDefault="00A9340A" w:rsidP="00CF4C4E">
            <w:pPr>
              <w:rPr>
                <w:sz w:val="20"/>
                <w:szCs w:val="20"/>
                <w:lang w:val="en-GB"/>
              </w:rPr>
            </w:pPr>
            <w:r w:rsidRPr="00CF4C4E">
              <w:rPr>
                <w:sz w:val="20"/>
                <w:szCs w:val="20"/>
                <w:lang w:val="en-GB"/>
              </w:rPr>
              <w:lastRenderedPageBreak/>
              <w:t xml:space="preserve">AML/CFT CB </w:t>
            </w:r>
          </w:p>
        </w:tc>
        <w:tc>
          <w:tcPr>
            <w:tcW w:w="436" w:type="pct"/>
            <w:shd w:val="clear" w:color="auto" w:fill="auto"/>
          </w:tcPr>
          <w:p w:rsidR="00074670" w:rsidRPr="00CF4C4E" w:rsidRDefault="00074670" w:rsidP="00CF4C4E">
            <w:pPr>
              <w:rPr>
                <w:sz w:val="20"/>
                <w:szCs w:val="20"/>
                <w:lang w:val="en-GB"/>
              </w:rPr>
            </w:pPr>
            <w:r w:rsidRPr="00CF4C4E">
              <w:rPr>
                <w:sz w:val="20"/>
                <w:szCs w:val="20"/>
                <w:lang w:val="en-GB"/>
              </w:rPr>
              <w:t xml:space="preserve">Supervisory authorities </w:t>
            </w:r>
          </w:p>
        </w:tc>
        <w:tc>
          <w:tcPr>
            <w:tcW w:w="408" w:type="pct"/>
            <w:shd w:val="clear" w:color="auto" w:fill="auto"/>
          </w:tcPr>
          <w:p w:rsidR="00074670" w:rsidRPr="00CF4C4E" w:rsidRDefault="00074670" w:rsidP="00CF4C4E">
            <w:pPr>
              <w:rPr>
                <w:sz w:val="20"/>
                <w:szCs w:val="20"/>
                <w:lang w:val="en-GB"/>
              </w:rPr>
            </w:pPr>
            <w:r w:rsidRPr="00CF4C4E">
              <w:rPr>
                <w:sz w:val="20"/>
                <w:szCs w:val="20"/>
                <w:lang w:val="en-GB"/>
              </w:rPr>
              <w:t>IV quarter of 2022</w:t>
            </w:r>
          </w:p>
        </w:tc>
        <w:tc>
          <w:tcPr>
            <w:tcW w:w="553" w:type="pct"/>
            <w:shd w:val="clear" w:color="auto" w:fill="auto"/>
          </w:tcPr>
          <w:p w:rsidR="00074670" w:rsidRPr="00CF4C4E" w:rsidRDefault="00074670" w:rsidP="00CF4C4E">
            <w:pPr>
              <w:rPr>
                <w:sz w:val="20"/>
                <w:szCs w:val="20"/>
                <w:lang w:val="en-GB"/>
              </w:rPr>
            </w:pPr>
            <w:r w:rsidRPr="00CF4C4E">
              <w:rPr>
                <w:sz w:val="20"/>
                <w:szCs w:val="20"/>
                <w:lang w:val="en-GB"/>
              </w:rPr>
              <w:t>Financed as part of regular activities of staff</w:t>
            </w:r>
          </w:p>
        </w:tc>
        <w:tc>
          <w:tcPr>
            <w:tcW w:w="407" w:type="pct"/>
            <w:shd w:val="clear" w:color="auto" w:fill="auto"/>
          </w:tcPr>
          <w:p w:rsidR="00074670" w:rsidRPr="00CF4C4E" w:rsidRDefault="00074670" w:rsidP="00CF4C4E">
            <w:pPr>
              <w:rPr>
                <w:sz w:val="20"/>
                <w:szCs w:val="20"/>
                <w:lang w:val="en-GB"/>
              </w:rPr>
            </w:pPr>
          </w:p>
        </w:tc>
        <w:tc>
          <w:tcPr>
            <w:tcW w:w="648" w:type="pct"/>
          </w:tcPr>
          <w:p w:rsidR="00074670" w:rsidRPr="00CF4C4E" w:rsidRDefault="00074670" w:rsidP="00CF4C4E">
            <w:pPr>
              <w:rPr>
                <w:sz w:val="20"/>
                <w:szCs w:val="20"/>
                <w:lang w:val="en-GB"/>
              </w:rPr>
            </w:pPr>
          </w:p>
        </w:tc>
        <w:tc>
          <w:tcPr>
            <w:tcW w:w="538" w:type="pct"/>
          </w:tcPr>
          <w:p w:rsidR="00074670" w:rsidRPr="00CF4C4E" w:rsidRDefault="00074670" w:rsidP="00CF4C4E">
            <w:pPr>
              <w:rPr>
                <w:sz w:val="20"/>
                <w:szCs w:val="20"/>
                <w:lang w:val="en-GB"/>
              </w:rPr>
            </w:pPr>
          </w:p>
        </w:tc>
        <w:tc>
          <w:tcPr>
            <w:tcW w:w="763" w:type="pct"/>
          </w:tcPr>
          <w:p w:rsidR="00074670" w:rsidRPr="00CF4C4E" w:rsidRDefault="00074670" w:rsidP="00CF4C4E">
            <w:pPr>
              <w:rPr>
                <w:sz w:val="20"/>
                <w:szCs w:val="20"/>
                <w:lang w:val="en-GB"/>
              </w:rPr>
            </w:pPr>
          </w:p>
        </w:tc>
      </w:tr>
      <w:tr w:rsidR="00074670" w:rsidRPr="00CF4C4E" w:rsidTr="00DB34B7">
        <w:trPr>
          <w:trHeight w:val="140"/>
        </w:trPr>
        <w:tc>
          <w:tcPr>
            <w:tcW w:w="844" w:type="pct"/>
            <w:tcBorders>
              <w:left w:val="double" w:sz="4" w:space="0" w:color="auto"/>
            </w:tcBorders>
          </w:tcPr>
          <w:p w:rsidR="00D527DB" w:rsidRPr="00CF4C4E" w:rsidRDefault="00074670" w:rsidP="00CF4C4E">
            <w:pPr>
              <w:rPr>
                <w:sz w:val="20"/>
                <w:szCs w:val="20"/>
                <w:lang w:val="en-GB"/>
              </w:rPr>
            </w:pPr>
            <w:r w:rsidRPr="00CF4C4E">
              <w:rPr>
                <w:sz w:val="20"/>
                <w:szCs w:val="20"/>
                <w:lang w:val="en-GB"/>
              </w:rPr>
              <w:lastRenderedPageBreak/>
              <w:t>2.3.8. Professional training of supervisors’ staff about the provisions of the AML/CFT Law and Law on Freezing of Assets with the Aim of Preventing Terrorism and Proliferation of WMD</w:t>
            </w:r>
          </w:p>
        </w:tc>
        <w:tc>
          <w:tcPr>
            <w:tcW w:w="403" w:type="pct"/>
          </w:tcPr>
          <w:p w:rsidR="00074670" w:rsidRPr="00CF4C4E" w:rsidRDefault="00074670" w:rsidP="00CF4C4E">
            <w:pPr>
              <w:rPr>
                <w:sz w:val="20"/>
                <w:szCs w:val="20"/>
                <w:lang w:val="en-GB"/>
              </w:rPr>
            </w:pPr>
            <w:r w:rsidRPr="00CF4C4E">
              <w:rPr>
                <w:sz w:val="20"/>
                <w:szCs w:val="20"/>
                <w:lang w:val="en-GB"/>
              </w:rPr>
              <w:t>APML</w:t>
            </w:r>
          </w:p>
        </w:tc>
        <w:tc>
          <w:tcPr>
            <w:tcW w:w="436" w:type="pct"/>
          </w:tcPr>
          <w:p w:rsidR="00074670" w:rsidRPr="00CF4C4E" w:rsidRDefault="00074670" w:rsidP="00CF4C4E">
            <w:pPr>
              <w:rPr>
                <w:sz w:val="20"/>
                <w:szCs w:val="20"/>
                <w:lang w:val="en-GB"/>
              </w:rPr>
            </w:pPr>
            <w:r w:rsidRPr="00CF4C4E">
              <w:rPr>
                <w:sz w:val="20"/>
                <w:szCs w:val="20"/>
                <w:lang w:val="en-GB"/>
              </w:rPr>
              <w:t>CCIS, JA</w:t>
            </w:r>
          </w:p>
          <w:p w:rsidR="00074670" w:rsidRPr="00CF4C4E" w:rsidRDefault="00A9340A" w:rsidP="00CF4C4E">
            <w:pPr>
              <w:rPr>
                <w:sz w:val="20"/>
                <w:szCs w:val="20"/>
                <w:lang w:val="en-GB"/>
              </w:rPr>
            </w:pPr>
            <w:r w:rsidRPr="00CF4C4E">
              <w:rPr>
                <w:sz w:val="20"/>
                <w:szCs w:val="20"/>
                <w:lang w:val="en-GB"/>
              </w:rPr>
              <w:t xml:space="preserve">Supervisory authorities </w:t>
            </w:r>
          </w:p>
        </w:tc>
        <w:tc>
          <w:tcPr>
            <w:tcW w:w="408" w:type="pct"/>
          </w:tcPr>
          <w:p w:rsidR="00074670" w:rsidRPr="00CF4C4E" w:rsidRDefault="00074670" w:rsidP="00CF4C4E">
            <w:pPr>
              <w:rPr>
                <w:sz w:val="20"/>
                <w:szCs w:val="20"/>
                <w:lang w:val="en-GB"/>
              </w:rPr>
            </w:pPr>
            <w:r w:rsidRPr="00CF4C4E">
              <w:rPr>
                <w:sz w:val="20"/>
                <w:szCs w:val="20"/>
                <w:lang w:val="en-GB"/>
              </w:rPr>
              <w:t>IV quarter of 2022 (continuous activity)</w:t>
            </w:r>
          </w:p>
        </w:tc>
        <w:tc>
          <w:tcPr>
            <w:tcW w:w="553" w:type="pct"/>
          </w:tcPr>
          <w:p w:rsidR="00074670" w:rsidRPr="00CF4C4E" w:rsidRDefault="00074670" w:rsidP="00CF4C4E">
            <w:pPr>
              <w:rPr>
                <w:sz w:val="20"/>
                <w:szCs w:val="20"/>
                <w:lang w:val="en-GB"/>
              </w:rPr>
            </w:pPr>
            <w:r w:rsidRPr="00CF4C4E">
              <w:rPr>
                <w:sz w:val="20"/>
                <w:szCs w:val="20"/>
                <w:lang w:val="en-GB"/>
              </w:rPr>
              <w:t>International donor funds (EU Support to Prevention of Money Laundering in Serbia Project, OSCE Mission to Serbia)</w:t>
            </w:r>
          </w:p>
        </w:tc>
        <w:tc>
          <w:tcPr>
            <w:tcW w:w="407" w:type="pct"/>
          </w:tcPr>
          <w:p w:rsidR="00074670" w:rsidRPr="00CF4C4E" w:rsidRDefault="00074670" w:rsidP="00CF4C4E">
            <w:pPr>
              <w:rPr>
                <w:sz w:val="20"/>
                <w:szCs w:val="20"/>
                <w:lang w:val="en-GB"/>
              </w:rPr>
            </w:pPr>
          </w:p>
        </w:tc>
        <w:tc>
          <w:tcPr>
            <w:tcW w:w="648" w:type="pct"/>
          </w:tcPr>
          <w:p w:rsidR="00074670" w:rsidRPr="00CF4C4E" w:rsidRDefault="00074670" w:rsidP="00CF4C4E">
            <w:pPr>
              <w:rPr>
                <w:sz w:val="20"/>
                <w:szCs w:val="20"/>
                <w:lang w:val="en-GB"/>
              </w:rPr>
            </w:pPr>
          </w:p>
        </w:tc>
        <w:tc>
          <w:tcPr>
            <w:tcW w:w="538" w:type="pct"/>
          </w:tcPr>
          <w:p w:rsidR="00074670" w:rsidRPr="00CF4C4E" w:rsidRDefault="00074670" w:rsidP="00CF4C4E">
            <w:pPr>
              <w:rPr>
                <w:sz w:val="20"/>
                <w:szCs w:val="20"/>
                <w:lang w:val="en-GB"/>
              </w:rPr>
            </w:pPr>
          </w:p>
        </w:tc>
        <w:tc>
          <w:tcPr>
            <w:tcW w:w="763" w:type="pct"/>
          </w:tcPr>
          <w:p w:rsidR="00074670" w:rsidRPr="00CF4C4E" w:rsidRDefault="00074670" w:rsidP="00CF4C4E">
            <w:pPr>
              <w:rPr>
                <w:sz w:val="20"/>
                <w:szCs w:val="20"/>
                <w:lang w:val="en-GB"/>
              </w:rPr>
            </w:pPr>
          </w:p>
        </w:tc>
      </w:tr>
      <w:tr w:rsidR="00074670" w:rsidRPr="00CF4C4E" w:rsidTr="00DB34B7">
        <w:trPr>
          <w:trHeight w:val="140"/>
        </w:trPr>
        <w:tc>
          <w:tcPr>
            <w:tcW w:w="844" w:type="pct"/>
            <w:tcBorders>
              <w:left w:val="double" w:sz="4" w:space="0" w:color="auto"/>
            </w:tcBorders>
          </w:tcPr>
          <w:p w:rsidR="00074670" w:rsidRPr="00CF4C4E" w:rsidRDefault="00074670" w:rsidP="00CF4C4E">
            <w:pPr>
              <w:rPr>
                <w:sz w:val="20"/>
                <w:szCs w:val="20"/>
                <w:lang w:val="en-GB"/>
              </w:rPr>
            </w:pPr>
            <w:r w:rsidRPr="00CF4C4E">
              <w:rPr>
                <w:sz w:val="20"/>
                <w:szCs w:val="20"/>
                <w:lang w:val="en-GB"/>
              </w:rPr>
              <w:t>2.3.9. Improve capacities of misdemeanour and commercial courts through training of misdemeanour and commercial courts judges about the application of the AML/CFT Law</w:t>
            </w:r>
          </w:p>
        </w:tc>
        <w:tc>
          <w:tcPr>
            <w:tcW w:w="403" w:type="pct"/>
          </w:tcPr>
          <w:p w:rsidR="00074670" w:rsidRPr="00CF4C4E" w:rsidRDefault="00074670" w:rsidP="00CF4C4E">
            <w:pPr>
              <w:rPr>
                <w:sz w:val="20"/>
                <w:szCs w:val="20"/>
                <w:lang w:val="en-GB"/>
              </w:rPr>
            </w:pPr>
            <w:r w:rsidRPr="00CF4C4E">
              <w:rPr>
                <w:sz w:val="20"/>
                <w:szCs w:val="20"/>
                <w:lang w:val="en-GB"/>
              </w:rPr>
              <w:t>APML</w:t>
            </w:r>
          </w:p>
        </w:tc>
        <w:tc>
          <w:tcPr>
            <w:tcW w:w="436" w:type="pct"/>
          </w:tcPr>
          <w:p w:rsidR="006C303F" w:rsidRPr="00CF4C4E" w:rsidRDefault="00074670" w:rsidP="00CF4C4E">
            <w:pPr>
              <w:rPr>
                <w:sz w:val="20"/>
                <w:szCs w:val="20"/>
                <w:lang w:val="en-GB"/>
              </w:rPr>
            </w:pPr>
            <w:r w:rsidRPr="00CF4C4E">
              <w:rPr>
                <w:sz w:val="20"/>
                <w:szCs w:val="20"/>
                <w:lang w:val="en-GB"/>
              </w:rPr>
              <w:t xml:space="preserve">SCC, HJC, AMC, AC, International partners, supervisory authorities </w:t>
            </w:r>
          </w:p>
          <w:p w:rsidR="00074670" w:rsidRPr="00CF4C4E" w:rsidRDefault="00074670" w:rsidP="00CF4C4E">
            <w:pPr>
              <w:rPr>
                <w:sz w:val="20"/>
                <w:szCs w:val="20"/>
                <w:lang w:val="en-GB"/>
              </w:rPr>
            </w:pPr>
          </w:p>
        </w:tc>
        <w:tc>
          <w:tcPr>
            <w:tcW w:w="408" w:type="pct"/>
          </w:tcPr>
          <w:p w:rsidR="00074670" w:rsidRPr="00CF4C4E" w:rsidRDefault="00074670" w:rsidP="00CF4C4E">
            <w:pPr>
              <w:rPr>
                <w:sz w:val="20"/>
                <w:szCs w:val="20"/>
                <w:lang w:val="en-GB"/>
              </w:rPr>
            </w:pPr>
            <w:r w:rsidRPr="00CF4C4E">
              <w:rPr>
                <w:sz w:val="20"/>
                <w:szCs w:val="20"/>
                <w:lang w:val="en-GB"/>
              </w:rPr>
              <w:t>IV quarter of 2022 (continuous activity)</w:t>
            </w:r>
          </w:p>
        </w:tc>
        <w:tc>
          <w:tcPr>
            <w:tcW w:w="553" w:type="pct"/>
          </w:tcPr>
          <w:p w:rsidR="00074670" w:rsidRPr="00CF4C4E" w:rsidRDefault="00074670" w:rsidP="00CF4C4E">
            <w:pPr>
              <w:rPr>
                <w:sz w:val="20"/>
                <w:szCs w:val="20"/>
                <w:lang w:val="en-GB"/>
              </w:rPr>
            </w:pPr>
            <w:r w:rsidRPr="00CF4C4E">
              <w:rPr>
                <w:sz w:val="20"/>
                <w:szCs w:val="20"/>
                <w:lang w:val="en-GB"/>
              </w:rPr>
              <w:t xml:space="preserve">International donor funds (EU Support to Prevention of Money Laundering in Serbia Project, </w:t>
            </w:r>
          </w:p>
          <w:p w:rsidR="00074670" w:rsidRPr="00CF4C4E" w:rsidRDefault="00074670" w:rsidP="00CF4C4E">
            <w:pPr>
              <w:rPr>
                <w:sz w:val="20"/>
                <w:szCs w:val="20"/>
                <w:lang w:val="en-GB"/>
              </w:rPr>
            </w:pPr>
            <w:r w:rsidRPr="00CF4C4E">
              <w:rPr>
                <w:sz w:val="20"/>
                <w:szCs w:val="20"/>
                <w:lang w:val="en-GB"/>
              </w:rPr>
              <w:t>OSCE Mission to Serbia)</w:t>
            </w:r>
          </w:p>
        </w:tc>
        <w:tc>
          <w:tcPr>
            <w:tcW w:w="407" w:type="pct"/>
          </w:tcPr>
          <w:p w:rsidR="00074670" w:rsidRPr="00CF4C4E" w:rsidRDefault="00074670" w:rsidP="00CF4C4E">
            <w:pPr>
              <w:rPr>
                <w:sz w:val="20"/>
                <w:szCs w:val="20"/>
                <w:lang w:val="en-GB"/>
              </w:rPr>
            </w:pPr>
          </w:p>
        </w:tc>
        <w:tc>
          <w:tcPr>
            <w:tcW w:w="648" w:type="pct"/>
          </w:tcPr>
          <w:p w:rsidR="00074670" w:rsidRPr="00CF4C4E" w:rsidRDefault="00074670" w:rsidP="00CF4C4E">
            <w:pPr>
              <w:rPr>
                <w:sz w:val="20"/>
                <w:szCs w:val="20"/>
                <w:lang w:val="en-GB"/>
              </w:rPr>
            </w:pPr>
          </w:p>
        </w:tc>
        <w:tc>
          <w:tcPr>
            <w:tcW w:w="538" w:type="pct"/>
          </w:tcPr>
          <w:p w:rsidR="00074670" w:rsidRPr="00CF4C4E" w:rsidRDefault="00074670" w:rsidP="00CF4C4E">
            <w:pPr>
              <w:rPr>
                <w:sz w:val="20"/>
                <w:szCs w:val="20"/>
                <w:lang w:val="en-GB"/>
              </w:rPr>
            </w:pPr>
          </w:p>
        </w:tc>
        <w:tc>
          <w:tcPr>
            <w:tcW w:w="763" w:type="pct"/>
          </w:tcPr>
          <w:p w:rsidR="00074670" w:rsidRPr="00CF4C4E" w:rsidRDefault="00074670" w:rsidP="00CF4C4E">
            <w:pPr>
              <w:rPr>
                <w:sz w:val="20"/>
                <w:szCs w:val="20"/>
                <w:lang w:val="en-GB"/>
              </w:rPr>
            </w:pPr>
          </w:p>
        </w:tc>
      </w:tr>
      <w:tr w:rsidR="00074670" w:rsidRPr="00CF4C4E" w:rsidTr="00DB34B7">
        <w:trPr>
          <w:trHeight w:val="140"/>
        </w:trPr>
        <w:tc>
          <w:tcPr>
            <w:tcW w:w="844" w:type="pct"/>
            <w:tcBorders>
              <w:left w:val="double" w:sz="4" w:space="0" w:color="auto"/>
            </w:tcBorders>
          </w:tcPr>
          <w:p w:rsidR="00D527DB" w:rsidRPr="00CF4C4E" w:rsidRDefault="00074670" w:rsidP="00CF4C4E">
            <w:pPr>
              <w:rPr>
                <w:sz w:val="20"/>
                <w:szCs w:val="20"/>
                <w:lang w:val="en-GB"/>
              </w:rPr>
            </w:pPr>
            <w:r w:rsidRPr="00CF4C4E">
              <w:rPr>
                <w:sz w:val="20"/>
                <w:szCs w:val="20"/>
                <w:lang w:val="en-GB"/>
              </w:rPr>
              <w:t>2.3.10. Improve supervisors’ knowledge of financial products that may be abused for money laundering or terrorist financing purposes through training (capital market, negotiable instruments, FX operations, etc.)</w:t>
            </w:r>
          </w:p>
        </w:tc>
        <w:tc>
          <w:tcPr>
            <w:tcW w:w="403" w:type="pct"/>
          </w:tcPr>
          <w:p w:rsidR="00074670" w:rsidRPr="00CF4C4E" w:rsidRDefault="005768D4" w:rsidP="00CF4C4E">
            <w:pPr>
              <w:rPr>
                <w:sz w:val="20"/>
                <w:szCs w:val="20"/>
                <w:lang w:val="en-GB"/>
              </w:rPr>
            </w:pPr>
            <w:r w:rsidRPr="00CF4C4E">
              <w:rPr>
                <w:sz w:val="20"/>
                <w:szCs w:val="20"/>
                <w:lang w:val="en-GB"/>
              </w:rPr>
              <w:t>AML/CFT CB</w:t>
            </w:r>
          </w:p>
        </w:tc>
        <w:tc>
          <w:tcPr>
            <w:tcW w:w="436" w:type="pct"/>
          </w:tcPr>
          <w:p w:rsidR="00074670" w:rsidRPr="00CF4C4E" w:rsidRDefault="005768D4" w:rsidP="00CF4C4E">
            <w:pPr>
              <w:rPr>
                <w:sz w:val="20"/>
                <w:szCs w:val="20"/>
                <w:lang w:val="en-GB"/>
              </w:rPr>
            </w:pPr>
            <w:r w:rsidRPr="00CF4C4E">
              <w:rPr>
                <w:sz w:val="20"/>
                <w:szCs w:val="20"/>
                <w:lang w:val="en-GB"/>
              </w:rPr>
              <w:t xml:space="preserve">RPPO, MoI, MoF-TA, MoF-CA, supervisory authorities </w:t>
            </w:r>
          </w:p>
        </w:tc>
        <w:tc>
          <w:tcPr>
            <w:tcW w:w="408" w:type="pct"/>
          </w:tcPr>
          <w:p w:rsidR="00074670" w:rsidRPr="00CF4C4E" w:rsidRDefault="00074670" w:rsidP="00CF4C4E">
            <w:pPr>
              <w:rPr>
                <w:sz w:val="20"/>
                <w:szCs w:val="20"/>
                <w:lang w:val="en-GB"/>
              </w:rPr>
            </w:pPr>
            <w:r w:rsidRPr="00CF4C4E">
              <w:rPr>
                <w:sz w:val="20"/>
                <w:szCs w:val="20"/>
                <w:lang w:val="en-GB"/>
              </w:rPr>
              <w:t>IV quarter of 2022 (continuous activity)</w:t>
            </w:r>
          </w:p>
        </w:tc>
        <w:tc>
          <w:tcPr>
            <w:tcW w:w="553" w:type="pct"/>
          </w:tcPr>
          <w:p w:rsidR="00074670" w:rsidRPr="00CF4C4E" w:rsidRDefault="00074670" w:rsidP="00CF4C4E">
            <w:pPr>
              <w:rPr>
                <w:sz w:val="20"/>
                <w:szCs w:val="20"/>
                <w:lang w:val="en-GB"/>
              </w:rPr>
            </w:pPr>
            <w:r w:rsidRPr="00CF4C4E">
              <w:rPr>
                <w:sz w:val="20"/>
                <w:szCs w:val="20"/>
                <w:lang w:val="en-GB"/>
              </w:rPr>
              <w:t xml:space="preserve">International donor funds (EU Support to Prevention of Money Laundering in Serbia Project, </w:t>
            </w:r>
          </w:p>
          <w:p w:rsidR="00074670" w:rsidRPr="00CF4C4E" w:rsidRDefault="00074670" w:rsidP="00CF4C4E">
            <w:pPr>
              <w:rPr>
                <w:sz w:val="20"/>
                <w:szCs w:val="20"/>
                <w:lang w:val="en-GB"/>
              </w:rPr>
            </w:pPr>
            <w:r w:rsidRPr="00CF4C4E">
              <w:rPr>
                <w:sz w:val="20"/>
                <w:szCs w:val="20"/>
                <w:lang w:val="en-GB"/>
              </w:rPr>
              <w:t>OSCE Mission to Serbia)</w:t>
            </w:r>
          </w:p>
        </w:tc>
        <w:tc>
          <w:tcPr>
            <w:tcW w:w="407" w:type="pct"/>
          </w:tcPr>
          <w:p w:rsidR="00074670" w:rsidRPr="00CF4C4E" w:rsidRDefault="00074670" w:rsidP="00CF4C4E">
            <w:pPr>
              <w:rPr>
                <w:sz w:val="20"/>
                <w:szCs w:val="20"/>
                <w:lang w:val="en-GB"/>
              </w:rPr>
            </w:pPr>
          </w:p>
        </w:tc>
        <w:tc>
          <w:tcPr>
            <w:tcW w:w="648" w:type="pct"/>
          </w:tcPr>
          <w:p w:rsidR="00074670" w:rsidRPr="00CF4C4E" w:rsidRDefault="00074670" w:rsidP="00CF4C4E">
            <w:pPr>
              <w:rPr>
                <w:sz w:val="20"/>
                <w:szCs w:val="20"/>
                <w:lang w:val="en-GB"/>
              </w:rPr>
            </w:pPr>
          </w:p>
        </w:tc>
        <w:tc>
          <w:tcPr>
            <w:tcW w:w="538" w:type="pct"/>
          </w:tcPr>
          <w:p w:rsidR="00074670" w:rsidRPr="00CF4C4E" w:rsidRDefault="00074670" w:rsidP="00CF4C4E">
            <w:pPr>
              <w:rPr>
                <w:sz w:val="20"/>
                <w:szCs w:val="20"/>
                <w:lang w:val="en-GB"/>
              </w:rPr>
            </w:pPr>
          </w:p>
        </w:tc>
        <w:tc>
          <w:tcPr>
            <w:tcW w:w="763" w:type="pct"/>
          </w:tcPr>
          <w:p w:rsidR="00074670" w:rsidRPr="00CF4C4E" w:rsidRDefault="00074670" w:rsidP="00CF4C4E">
            <w:pPr>
              <w:rPr>
                <w:sz w:val="20"/>
                <w:szCs w:val="20"/>
                <w:lang w:val="en-GB"/>
              </w:rPr>
            </w:pPr>
          </w:p>
        </w:tc>
      </w:tr>
      <w:tr w:rsidR="00074670" w:rsidRPr="00CF4C4E" w:rsidTr="00476D5F">
        <w:trPr>
          <w:trHeight w:val="294"/>
        </w:trPr>
        <w:tc>
          <w:tcPr>
            <w:tcW w:w="844" w:type="pct"/>
            <w:tcBorders>
              <w:left w:val="double" w:sz="4" w:space="0" w:color="auto"/>
            </w:tcBorders>
          </w:tcPr>
          <w:p w:rsidR="00074670" w:rsidRPr="00CF4C4E" w:rsidRDefault="00074670" w:rsidP="00CF4C4E">
            <w:pPr>
              <w:rPr>
                <w:sz w:val="20"/>
                <w:szCs w:val="20"/>
                <w:lang w:val="en-GB"/>
              </w:rPr>
            </w:pPr>
            <w:r w:rsidRPr="00CF4C4E">
              <w:rPr>
                <w:sz w:val="20"/>
                <w:szCs w:val="20"/>
                <w:lang w:val="en-GB"/>
              </w:rPr>
              <w:lastRenderedPageBreak/>
              <w:t>2.3.11. Improve the capacities of authorities, through training, to better recognise ML/TF risks when controlling cross-border transportation of cash</w:t>
            </w:r>
          </w:p>
        </w:tc>
        <w:tc>
          <w:tcPr>
            <w:tcW w:w="403" w:type="pct"/>
          </w:tcPr>
          <w:p w:rsidR="00074670" w:rsidRPr="00CF4C4E" w:rsidRDefault="006C303F" w:rsidP="00CF4C4E">
            <w:pPr>
              <w:rPr>
                <w:sz w:val="20"/>
                <w:szCs w:val="20"/>
                <w:lang w:val="en-GB"/>
              </w:rPr>
            </w:pPr>
            <w:r w:rsidRPr="00CF4C4E">
              <w:rPr>
                <w:sz w:val="20"/>
                <w:szCs w:val="20"/>
                <w:lang w:val="en-GB"/>
              </w:rPr>
              <w:t>MoF-CA</w:t>
            </w:r>
          </w:p>
          <w:p w:rsidR="00074670" w:rsidRPr="00CF4C4E" w:rsidRDefault="00074670" w:rsidP="00CF4C4E">
            <w:pPr>
              <w:rPr>
                <w:sz w:val="20"/>
                <w:szCs w:val="20"/>
                <w:lang w:val="en-GB"/>
              </w:rPr>
            </w:pPr>
          </w:p>
          <w:p w:rsidR="00074670" w:rsidRPr="00CF4C4E" w:rsidRDefault="00074670" w:rsidP="00CF4C4E">
            <w:pPr>
              <w:rPr>
                <w:sz w:val="20"/>
                <w:szCs w:val="20"/>
                <w:lang w:val="en-GB"/>
              </w:rPr>
            </w:pPr>
          </w:p>
          <w:p w:rsidR="00074670" w:rsidRPr="00CF4C4E" w:rsidRDefault="00074670" w:rsidP="00CF4C4E">
            <w:pPr>
              <w:rPr>
                <w:sz w:val="20"/>
                <w:szCs w:val="20"/>
                <w:lang w:val="en-GB"/>
              </w:rPr>
            </w:pPr>
          </w:p>
          <w:p w:rsidR="00074670" w:rsidRPr="00CF4C4E" w:rsidRDefault="00074670" w:rsidP="00CF4C4E">
            <w:pPr>
              <w:rPr>
                <w:sz w:val="20"/>
                <w:szCs w:val="20"/>
                <w:lang w:val="en-GB"/>
              </w:rPr>
            </w:pPr>
          </w:p>
          <w:p w:rsidR="00074670" w:rsidRPr="00CF4C4E" w:rsidRDefault="00074670" w:rsidP="00CF4C4E">
            <w:pPr>
              <w:rPr>
                <w:sz w:val="20"/>
                <w:szCs w:val="20"/>
                <w:lang w:val="en-GB"/>
              </w:rPr>
            </w:pPr>
          </w:p>
          <w:p w:rsidR="00074670" w:rsidRPr="00CF4C4E" w:rsidRDefault="00074670" w:rsidP="00CF4C4E">
            <w:pPr>
              <w:rPr>
                <w:sz w:val="20"/>
                <w:szCs w:val="20"/>
                <w:lang w:val="en-GB"/>
              </w:rPr>
            </w:pPr>
          </w:p>
        </w:tc>
        <w:tc>
          <w:tcPr>
            <w:tcW w:w="436" w:type="pct"/>
          </w:tcPr>
          <w:p w:rsidR="00074670" w:rsidRPr="00CF4C4E" w:rsidRDefault="00074670" w:rsidP="00CF4C4E">
            <w:pPr>
              <w:rPr>
                <w:sz w:val="20"/>
                <w:szCs w:val="20"/>
                <w:lang w:val="en-GB"/>
              </w:rPr>
            </w:pPr>
            <w:r w:rsidRPr="00CF4C4E">
              <w:rPr>
                <w:sz w:val="20"/>
                <w:szCs w:val="20"/>
                <w:lang w:val="en-GB"/>
              </w:rPr>
              <w:t>, APML, MoI, prosecutor’s office, CommC and MC</w:t>
            </w:r>
          </w:p>
        </w:tc>
        <w:tc>
          <w:tcPr>
            <w:tcW w:w="408" w:type="pct"/>
          </w:tcPr>
          <w:p w:rsidR="00074670" w:rsidRPr="00CF4C4E" w:rsidRDefault="00074670" w:rsidP="00CF4C4E">
            <w:pPr>
              <w:rPr>
                <w:sz w:val="20"/>
                <w:szCs w:val="20"/>
                <w:lang w:val="en-GB"/>
              </w:rPr>
            </w:pPr>
            <w:r w:rsidRPr="00CF4C4E">
              <w:rPr>
                <w:sz w:val="20"/>
                <w:szCs w:val="20"/>
                <w:lang w:val="en-GB"/>
              </w:rPr>
              <w:t>IV quarter of 2022 (continuous activity)</w:t>
            </w:r>
          </w:p>
          <w:p w:rsidR="00074670" w:rsidRPr="00CF4C4E" w:rsidRDefault="00074670" w:rsidP="00CF4C4E">
            <w:pPr>
              <w:rPr>
                <w:sz w:val="20"/>
                <w:szCs w:val="20"/>
                <w:lang w:val="en-GB"/>
              </w:rPr>
            </w:pPr>
          </w:p>
          <w:p w:rsidR="00074670" w:rsidRPr="00CF4C4E" w:rsidRDefault="00074670" w:rsidP="00CF4C4E">
            <w:pPr>
              <w:rPr>
                <w:sz w:val="20"/>
                <w:szCs w:val="20"/>
                <w:lang w:val="en-GB"/>
              </w:rPr>
            </w:pPr>
          </w:p>
        </w:tc>
        <w:tc>
          <w:tcPr>
            <w:tcW w:w="553" w:type="pct"/>
          </w:tcPr>
          <w:p w:rsidR="00074670" w:rsidRPr="00CF4C4E" w:rsidRDefault="00074670" w:rsidP="00CF4C4E">
            <w:pPr>
              <w:rPr>
                <w:sz w:val="20"/>
                <w:szCs w:val="20"/>
                <w:lang w:val="en-GB"/>
              </w:rPr>
            </w:pPr>
            <w:r w:rsidRPr="00CF4C4E">
              <w:rPr>
                <w:sz w:val="20"/>
                <w:szCs w:val="20"/>
                <w:lang w:val="en-GB"/>
              </w:rPr>
              <w:t>Financed as part of regular activities of staff</w:t>
            </w:r>
          </w:p>
          <w:p w:rsidR="00074670" w:rsidRPr="00CF4C4E" w:rsidRDefault="00074670" w:rsidP="00CF4C4E">
            <w:pPr>
              <w:rPr>
                <w:sz w:val="20"/>
                <w:szCs w:val="20"/>
                <w:lang w:val="en-GB"/>
              </w:rPr>
            </w:pPr>
          </w:p>
          <w:p w:rsidR="00074670" w:rsidRPr="00CF4C4E" w:rsidRDefault="00074670" w:rsidP="00CF4C4E">
            <w:pPr>
              <w:rPr>
                <w:sz w:val="20"/>
                <w:szCs w:val="20"/>
                <w:lang w:val="en-GB"/>
              </w:rPr>
            </w:pPr>
          </w:p>
          <w:p w:rsidR="00074670" w:rsidRPr="00CF4C4E" w:rsidRDefault="00074670" w:rsidP="00CF4C4E">
            <w:pPr>
              <w:rPr>
                <w:sz w:val="20"/>
                <w:szCs w:val="20"/>
                <w:lang w:val="en-GB"/>
              </w:rPr>
            </w:pPr>
          </w:p>
        </w:tc>
        <w:tc>
          <w:tcPr>
            <w:tcW w:w="407" w:type="pct"/>
          </w:tcPr>
          <w:p w:rsidR="00074670" w:rsidRPr="00CF4C4E" w:rsidRDefault="00074670" w:rsidP="00CF4C4E">
            <w:pPr>
              <w:rPr>
                <w:sz w:val="20"/>
                <w:szCs w:val="20"/>
                <w:lang w:val="en-GB"/>
              </w:rPr>
            </w:pPr>
          </w:p>
        </w:tc>
        <w:tc>
          <w:tcPr>
            <w:tcW w:w="648" w:type="pct"/>
          </w:tcPr>
          <w:p w:rsidR="00074670" w:rsidRPr="00CF4C4E" w:rsidRDefault="00074670" w:rsidP="00CF4C4E">
            <w:pPr>
              <w:rPr>
                <w:sz w:val="20"/>
                <w:szCs w:val="20"/>
                <w:lang w:val="en-GB"/>
              </w:rPr>
            </w:pPr>
          </w:p>
        </w:tc>
        <w:tc>
          <w:tcPr>
            <w:tcW w:w="538" w:type="pct"/>
          </w:tcPr>
          <w:p w:rsidR="00074670" w:rsidRPr="00CF4C4E" w:rsidRDefault="00074670" w:rsidP="00CF4C4E">
            <w:pPr>
              <w:rPr>
                <w:sz w:val="20"/>
                <w:szCs w:val="20"/>
                <w:lang w:val="en-GB"/>
              </w:rPr>
            </w:pPr>
          </w:p>
        </w:tc>
        <w:tc>
          <w:tcPr>
            <w:tcW w:w="763" w:type="pct"/>
          </w:tcPr>
          <w:p w:rsidR="00074670" w:rsidRPr="00CF4C4E" w:rsidRDefault="00074670" w:rsidP="00CF4C4E">
            <w:pPr>
              <w:rPr>
                <w:sz w:val="20"/>
                <w:szCs w:val="20"/>
                <w:lang w:val="en-GB"/>
              </w:rPr>
            </w:pPr>
          </w:p>
        </w:tc>
      </w:tr>
      <w:tr w:rsidR="00074670" w:rsidRPr="00CF4C4E" w:rsidTr="00DB34B7">
        <w:trPr>
          <w:trHeight w:val="140"/>
        </w:trPr>
        <w:tc>
          <w:tcPr>
            <w:tcW w:w="844" w:type="pct"/>
            <w:tcBorders>
              <w:left w:val="double" w:sz="4" w:space="0" w:color="auto"/>
            </w:tcBorders>
          </w:tcPr>
          <w:p w:rsidR="00074670" w:rsidRPr="00CF4C4E" w:rsidRDefault="00074670" w:rsidP="00CF4C4E">
            <w:pPr>
              <w:rPr>
                <w:sz w:val="20"/>
                <w:szCs w:val="20"/>
                <w:lang w:val="en-GB"/>
              </w:rPr>
            </w:pPr>
            <w:r w:rsidRPr="00CF4C4E">
              <w:rPr>
                <w:sz w:val="20"/>
                <w:szCs w:val="20"/>
                <w:lang w:val="en-GB"/>
              </w:rPr>
              <w:t>2.3.12. Improve the capacities of the Customs Administration to actually recognise dual-use goods, arms and military equipment through training of customs officers</w:t>
            </w:r>
          </w:p>
        </w:tc>
        <w:tc>
          <w:tcPr>
            <w:tcW w:w="403" w:type="pct"/>
          </w:tcPr>
          <w:p w:rsidR="00074670" w:rsidRPr="00CF4C4E" w:rsidRDefault="006C303F" w:rsidP="00CF4C4E">
            <w:pPr>
              <w:rPr>
                <w:sz w:val="20"/>
                <w:szCs w:val="20"/>
                <w:lang w:val="en-GB"/>
              </w:rPr>
            </w:pPr>
            <w:r w:rsidRPr="00CF4C4E">
              <w:rPr>
                <w:sz w:val="20"/>
                <w:szCs w:val="20"/>
                <w:lang w:val="en-GB"/>
              </w:rPr>
              <w:t>MoF-CA</w:t>
            </w:r>
          </w:p>
        </w:tc>
        <w:tc>
          <w:tcPr>
            <w:tcW w:w="436" w:type="pct"/>
          </w:tcPr>
          <w:p w:rsidR="00074670" w:rsidRPr="00CF4C4E" w:rsidRDefault="00074670" w:rsidP="00CF4C4E">
            <w:pPr>
              <w:rPr>
                <w:sz w:val="20"/>
                <w:szCs w:val="20"/>
                <w:lang w:val="en-GB"/>
              </w:rPr>
            </w:pPr>
            <w:r w:rsidRPr="00CF4C4E">
              <w:rPr>
                <w:sz w:val="20"/>
                <w:szCs w:val="20"/>
                <w:lang w:val="en-GB"/>
              </w:rPr>
              <w:t>APML</w:t>
            </w:r>
          </w:p>
        </w:tc>
        <w:tc>
          <w:tcPr>
            <w:tcW w:w="408" w:type="pct"/>
          </w:tcPr>
          <w:p w:rsidR="00074670" w:rsidRPr="00CF4C4E" w:rsidRDefault="00074670" w:rsidP="00CF4C4E">
            <w:pPr>
              <w:rPr>
                <w:sz w:val="20"/>
                <w:szCs w:val="20"/>
                <w:lang w:val="en-GB"/>
              </w:rPr>
            </w:pPr>
            <w:r w:rsidRPr="00CF4C4E">
              <w:rPr>
                <w:sz w:val="20"/>
                <w:szCs w:val="20"/>
                <w:lang w:val="en-GB"/>
              </w:rPr>
              <w:t>IV quarter of 2022 (continuous activity)</w:t>
            </w:r>
          </w:p>
        </w:tc>
        <w:tc>
          <w:tcPr>
            <w:tcW w:w="553" w:type="pct"/>
          </w:tcPr>
          <w:p w:rsidR="00074670" w:rsidRPr="00CF4C4E" w:rsidRDefault="00074670" w:rsidP="00CF4C4E">
            <w:pPr>
              <w:rPr>
                <w:sz w:val="20"/>
                <w:szCs w:val="20"/>
                <w:lang w:val="en-GB"/>
              </w:rPr>
            </w:pPr>
            <w:r w:rsidRPr="00CF4C4E">
              <w:rPr>
                <w:sz w:val="20"/>
                <w:szCs w:val="20"/>
                <w:lang w:val="en-GB"/>
              </w:rPr>
              <w:t>Financed as part of regular activities of staff</w:t>
            </w:r>
          </w:p>
        </w:tc>
        <w:tc>
          <w:tcPr>
            <w:tcW w:w="407" w:type="pct"/>
          </w:tcPr>
          <w:p w:rsidR="00074670" w:rsidRPr="00CF4C4E" w:rsidRDefault="00074670" w:rsidP="00CF4C4E">
            <w:pPr>
              <w:rPr>
                <w:sz w:val="20"/>
                <w:szCs w:val="20"/>
                <w:lang w:val="en-GB"/>
              </w:rPr>
            </w:pPr>
          </w:p>
        </w:tc>
        <w:tc>
          <w:tcPr>
            <w:tcW w:w="648" w:type="pct"/>
          </w:tcPr>
          <w:p w:rsidR="00074670" w:rsidRPr="00CF4C4E" w:rsidRDefault="00074670" w:rsidP="00CF4C4E">
            <w:pPr>
              <w:rPr>
                <w:sz w:val="20"/>
                <w:szCs w:val="20"/>
                <w:lang w:val="en-GB"/>
              </w:rPr>
            </w:pPr>
          </w:p>
        </w:tc>
        <w:tc>
          <w:tcPr>
            <w:tcW w:w="538" w:type="pct"/>
          </w:tcPr>
          <w:p w:rsidR="00074670" w:rsidRPr="00CF4C4E" w:rsidRDefault="00074670" w:rsidP="00CF4C4E">
            <w:pPr>
              <w:rPr>
                <w:sz w:val="20"/>
                <w:szCs w:val="20"/>
                <w:lang w:val="en-GB"/>
              </w:rPr>
            </w:pPr>
          </w:p>
        </w:tc>
        <w:tc>
          <w:tcPr>
            <w:tcW w:w="763" w:type="pct"/>
          </w:tcPr>
          <w:p w:rsidR="00074670" w:rsidRPr="00CF4C4E" w:rsidRDefault="00074670" w:rsidP="00CF4C4E">
            <w:pPr>
              <w:rPr>
                <w:sz w:val="20"/>
                <w:szCs w:val="20"/>
                <w:lang w:val="en-GB"/>
              </w:rPr>
            </w:pPr>
          </w:p>
        </w:tc>
      </w:tr>
    </w:tbl>
    <w:p w:rsidR="00F43ECD" w:rsidRPr="00CF4C4E" w:rsidRDefault="00F43ECD" w:rsidP="00CF4C4E">
      <w:pPr>
        <w:rPr>
          <w:sz w:val="20"/>
          <w:szCs w:val="20"/>
          <w:lang w:val="en-GB"/>
        </w:rPr>
      </w:pPr>
    </w:p>
    <w:tbl>
      <w:tblPr>
        <w:tblStyle w:val="TableGrid"/>
        <w:tblW w:w="14132" w:type="dxa"/>
        <w:tblInd w:w="10" w:type="dxa"/>
        <w:tblLayout w:type="fixed"/>
        <w:tblLook w:val="04A0"/>
      </w:tblPr>
      <w:tblGrid>
        <w:gridCol w:w="3136"/>
        <w:gridCol w:w="1442"/>
        <w:gridCol w:w="1367"/>
        <w:gridCol w:w="1743"/>
        <w:gridCol w:w="1657"/>
        <w:gridCol w:w="1243"/>
        <w:gridCol w:w="1276"/>
        <w:gridCol w:w="2268"/>
      </w:tblGrid>
      <w:tr w:rsidR="00D57EC4" w:rsidRPr="00CF4C4E" w:rsidTr="00DF0DDF">
        <w:trPr>
          <w:trHeight w:val="320"/>
        </w:trPr>
        <w:tc>
          <w:tcPr>
            <w:tcW w:w="14132" w:type="dxa"/>
            <w:gridSpan w:val="8"/>
            <w:tcBorders>
              <w:top w:val="double" w:sz="4" w:space="0" w:color="auto"/>
              <w:right w:val="double" w:sz="4" w:space="0" w:color="auto"/>
            </w:tcBorders>
            <w:shd w:val="clear" w:color="auto" w:fill="FBD4B4" w:themeFill="accent6" w:themeFillTint="66"/>
          </w:tcPr>
          <w:p w:rsidR="00D57EC4" w:rsidRPr="00CF4C4E" w:rsidRDefault="00D57EC4" w:rsidP="00CF4C4E">
            <w:pPr>
              <w:pStyle w:val="Heading2"/>
              <w:spacing w:before="0" w:beforeAutospacing="0" w:after="0" w:afterAutospacing="0"/>
              <w:rPr>
                <w:sz w:val="20"/>
                <w:szCs w:val="20"/>
                <w:lang w:val="en-GB"/>
              </w:rPr>
            </w:pPr>
            <w:bookmarkStart w:id="10" w:name="_Toc32409914"/>
            <w:r w:rsidRPr="00CF4C4E">
              <w:rPr>
                <w:sz w:val="20"/>
                <w:szCs w:val="20"/>
                <w:lang w:val="en-GB"/>
              </w:rPr>
              <w:t>Specific objective 3:</w:t>
            </w:r>
            <w:r w:rsidRPr="00CF4C4E">
              <w:rPr>
                <w:b w:val="0"/>
                <w:bCs w:val="0"/>
                <w:sz w:val="20"/>
                <w:szCs w:val="20"/>
                <w:lang w:val="en-GB"/>
              </w:rPr>
              <w:t xml:space="preserve"> </w:t>
            </w:r>
            <w:r w:rsidRPr="00CF4C4E">
              <w:rPr>
                <w:sz w:val="20"/>
                <w:szCs w:val="20"/>
                <w:lang w:val="en-GB"/>
              </w:rPr>
              <w:t>Sanction money launderers in an efficient and effective manner and confiscate proceeds from crime</w:t>
            </w:r>
            <w:bookmarkEnd w:id="10"/>
          </w:p>
        </w:tc>
      </w:tr>
      <w:tr w:rsidR="00D57EC4" w:rsidRPr="00CF4C4E" w:rsidTr="00DF0DDF">
        <w:trPr>
          <w:trHeight w:val="320"/>
        </w:trPr>
        <w:tc>
          <w:tcPr>
            <w:tcW w:w="14132" w:type="dxa"/>
            <w:gridSpan w:val="8"/>
            <w:tcBorders>
              <w:top w:val="double" w:sz="4" w:space="0" w:color="auto"/>
              <w:right w:val="double" w:sz="4" w:space="0" w:color="auto"/>
            </w:tcBorders>
            <w:shd w:val="clear" w:color="auto" w:fill="FBD4B4" w:themeFill="accent6" w:themeFillTint="66"/>
            <w:vAlign w:val="center"/>
          </w:tcPr>
          <w:p w:rsidR="00D57EC4" w:rsidRPr="00CF4C4E" w:rsidRDefault="00D57EC4" w:rsidP="00CF4C4E">
            <w:pPr>
              <w:rPr>
                <w:sz w:val="20"/>
                <w:szCs w:val="20"/>
                <w:lang w:val="en-GB"/>
              </w:rPr>
            </w:pPr>
            <w:r w:rsidRPr="00CF4C4E">
              <w:rPr>
                <w:rFonts w:eastAsia="Times New Roman"/>
                <w:color w:val="222222"/>
                <w:sz w:val="20"/>
                <w:szCs w:val="20"/>
                <w:lang w:val="en-GB"/>
              </w:rPr>
              <w:t>Institution responsible for monitoring and control of implementation: Coordination Body for the Prevention of Money Laundering and the Financing of Terrorism (AML/CFT CB)</w:t>
            </w:r>
          </w:p>
        </w:tc>
      </w:tr>
      <w:tr w:rsidR="00DF0DDF" w:rsidRPr="00CF4C4E" w:rsidTr="00DF0DDF">
        <w:trPr>
          <w:trHeight w:val="575"/>
        </w:trPr>
        <w:tc>
          <w:tcPr>
            <w:tcW w:w="3136"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Indicator(s) at the level of the specific objective (indicator of outcome)</w:t>
            </w:r>
          </w:p>
        </w:tc>
        <w:tc>
          <w:tcPr>
            <w:tcW w:w="1442"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Unit of measurement</w:t>
            </w:r>
          </w:p>
          <w:p w:rsidR="00DF0DDF" w:rsidRPr="00CF4C4E" w:rsidRDefault="00DF0DDF" w:rsidP="00CF4C4E">
            <w:pPr>
              <w:rPr>
                <w:sz w:val="20"/>
                <w:szCs w:val="20"/>
                <w:lang w:val="en-GB"/>
              </w:rPr>
            </w:pPr>
          </w:p>
        </w:tc>
        <w:tc>
          <w:tcPr>
            <w:tcW w:w="1367"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Source of verification</w:t>
            </w:r>
          </w:p>
        </w:tc>
        <w:tc>
          <w:tcPr>
            <w:tcW w:w="1743"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 xml:space="preserve">Base value </w:t>
            </w:r>
          </w:p>
        </w:tc>
        <w:tc>
          <w:tcPr>
            <w:tcW w:w="1657"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Base year</w:t>
            </w:r>
          </w:p>
        </w:tc>
        <w:tc>
          <w:tcPr>
            <w:tcW w:w="1243"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Target value in 2020</w:t>
            </w:r>
          </w:p>
        </w:tc>
        <w:tc>
          <w:tcPr>
            <w:tcW w:w="1276" w:type="dxa"/>
            <w:tcBorders>
              <w:top w:val="double" w:sz="4" w:space="0" w:color="auto"/>
            </w:tcBorders>
            <w:shd w:val="clear" w:color="auto" w:fill="D9D9D9" w:themeFill="background1" w:themeFillShade="D9"/>
          </w:tcPr>
          <w:p w:rsidR="00DF0DDF" w:rsidRPr="00CF4C4E" w:rsidRDefault="00DF0DDF" w:rsidP="00CF4C4E">
            <w:pPr>
              <w:rPr>
                <w:sz w:val="20"/>
                <w:szCs w:val="20"/>
                <w:lang w:val="en-GB"/>
              </w:rPr>
            </w:pPr>
            <w:r w:rsidRPr="00CF4C4E">
              <w:rPr>
                <w:sz w:val="20"/>
                <w:szCs w:val="20"/>
                <w:lang w:val="en-GB"/>
              </w:rPr>
              <w:t>Target value in 2021</w:t>
            </w:r>
          </w:p>
        </w:tc>
        <w:tc>
          <w:tcPr>
            <w:tcW w:w="2268" w:type="dxa"/>
            <w:tcBorders>
              <w:top w:val="double" w:sz="4" w:space="0" w:color="auto"/>
              <w:right w:val="double" w:sz="4" w:space="0" w:color="auto"/>
            </w:tcBorders>
            <w:shd w:val="clear" w:color="auto" w:fill="D9D9D9" w:themeFill="background1" w:themeFillShade="D9"/>
          </w:tcPr>
          <w:p w:rsidR="00DF0DDF" w:rsidRPr="00CF4C4E" w:rsidRDefault="00885F9C" w:rsidP="00CF4C4E">
            <w:pPr>
              <w:rPr>
                <w:sz w:val="20"/>
                <w:szCs w:val="20"/>
                <w:lang w:val="en-GB"/>
              </w:rPr>
            </w:pPr>
            <w:r w:rsidRPr="00CF4C4E">
              <w:rPr>
                <w:sz w:val="20"/>
                <w:szCs w:val="20"/>
                <w:lang w:val="en-GB"/>
              </w:rPr>
              <w:t>Target value in 2022</w:t>
            </w:r>
          </w:p>
        </w:tc>
      </w:tr>
      <w:tr w:rsidR="00D57EC4" w:rsidRPr="00CF4C4E" w:rsidTr="00DF0DDF">
        <w:trPr>
          <w:trHeight w:val="254"/>
        </w:trPr>
        <w:tc>
          <w:tcPr>
            <w:tcW w:w="3136" w:type="dxa"/>
            <w:tcBorders>
              <w:top w:val="double" w:sz="4" w:space="0" w:color="auto"/>
              <w:bottom w:val="double" w:sz="4" w:space="0" w:color="auto"/>
            </w:tcBorders>
            <w:shd w:val="clear" w:color="auto" w:fill="FFFFFF" w:themeFill="background1"/>
          </w:tcPr>
          <w:p w:rsidR="00D57EC4" w:rsidRPr="00CF4C4E" w:rsidRDefault="00A12AA6" w:rsidP="00CF4C4E">
            <w:pPr>
              <w:jc w:val="both"/>
              <w:rPr>
                <w:color w:val="auto"/>
                <w:sz w:val="20"/>
                <w:szCs w:val="20"/>
                <w:lang w:val="en-GB"/>
              </w:rPr>
            </w:pPr>
            <w:r w:rsidRPr="00CF4C4E">
              <w:rPr>
                <w:color w:val="auto"/>
                <w:sz w:val="20"/>
                <w:szCs w:val="20"/>
                <w:lang w:val="en-GB"/>
              </w:rPr>
              <w:t>Progress sustained on immediate outcome 7 under the FATF Methodology, annually</w:t>
            </w:r>
          </w:p>
        </w:tc>
        <w:tc>
          <w:tcPr>
            <w:tcW w:w="1442" w:type="dxa"/>
            <w:tcBorders>
              <w:top w:val="double" w:sz="4" w:space="0" w:color="auto"/>
              <w:bottom w:val="double" w:sz="4" w:space="0" w:color="auto"/>
            </w:tcBorders>
            <w:shd w:val="clear" w:color="auto" w:fill="FFFFFF" w:themeFill="background1"/>
          </w:tcPr>
          <w:p w:rsidR="00D57EC4" w:rsidRPr="00CF4C4E" w:rsidRDefault="007B0298" w:rsidP="00CF4C4E">
            <w:pPr>
              <w:shd w:val="clear" w:color="auto" w:fill="FFFFFF" w:themeFill="background1"/>
              <w:rPr>
                <w:color w:val="auto"/>
                <w:sz w:val="20"/>
                <w:szCs w:val="20"/>
                <w:lang w:val="en-GB"/>
              </w:rPr>
            </w:pPr>
            <w:r w:rsidRPr="00CF4C4E">
              <w:rPr>
                <w:color w:val="auto"/>
                <w:sz w:val="20"/>
                <w:szCs w:val="20"/>
                <w:lang w:val="en-GB"/>
              </w:rPr>
              <w:t>Yes/No</w:t>
            </w:r>
          </w:p>
        </w:tc>
        <w:tc>
          <w:tcPr>
            <w:tcW w:w="1367" w:type="dxa"/>
            <w:tcBorders>
              <w:top w:val="double" w:sz="4" w:space="0" w:color="auto"/>
              <w:bottom w:val="double" w:sz="4" w:space="0" w:color="auto"/>
            </w:tcBorders>
            <w:shd w:val="clear" w:color="auto" w:fill="FFFFFF" w:themeFill="background1"/>
          </w:tcPr>
          <w:p w:rsidR="00D57EC4" w:rsidRPr="00CF4C4E" w:rsidRDefault="007B0298" w:rsidP="00CF4C4E">
            <w:pPr>
              <w:shd w:val="clear" w:color="auto" w:fill="FFFFFF" w:themeFill="background1"/>
              <w:rPr>
                <w:color w:val="auto"/>
                <w:sz w:val="20"/>
                <w:szCs w:val="20"/>
                <w:lang w:val="en-GB"/>
              </w:rPr>
            </w:pPr>
            <w:r w:rsidRPr="00CF4C4E">
              <w:rPr>
                <w:color w:val="auto"/>
                <w:sz w:val="20"/>
                <w:szCs w:val="20"/>
                <w:lang w:val="en-GB"/>
              </w:rPr>
              <w:t>Reports by competent authorities; Moneyval report</w:t>
            </w:r>
          </w:p>
        </w:tc>
        <w:tc>
          <w:tcPr>
            <w:tcW w:w="1743" w:type="dxa"/>
            <w:tcBorders>
              <w:top w:val="double" w:sz="4" w:space="0" w:color="auto"/>
              <w:bottom w:val="double" w:sz="4" w:space="0" w:color="auto"/>
            </w:tcBorders>
            <w:shd w:val="clear" w:color="auto" w:fill="FFFFFF" w:themeFill="background1"/>
          </w:tcPr>
          <w:p w:rsidR="00D57EC4" w:rsidRPr="00CF4C4E" w:rsidRDefault="007B0298" w:rsidP="00CF4C4E">
            <w:pPr>
              <w:shd w:val="clear" w:color="auto" w:fill="FFFFFF" w:themeFill="background1"/>
              <w:rPr>
                <w:color w:val="auto"/>
                <w:sz w:val="20"/>
                <w:szCs w:val="20"/>
                <w:lang w:val="en-GB"/>
              </w:rPr>
            </w:pPr>
            <w:r w:rsidRPr="00CF4C4E">
              <w:rPr>
                <w:color w:val="auto"/>
                <w:sz w:val="20"/>
                <w:szCs w:val="20"/>
                <w:lang w:val="en-GB"/>
              </w:rPr>
              <w:t>Yes.</w:t>
            </w:r>
          </w:p>
        </w:tc>
        <w:tc>
          <w:tcPr>
            <w:tcW w:w="1657" w:type="dxa"/>
            <w:tcBorders>
              <w:top w:val="double" w:sz="4" w:space="0" w:color="auto"/>
              <w:bottom w:val="double" w:sz="4" w:space="0" w:color="auto"/>
            </w:tcBorders>
            <w:shd w:val="clear" w:color="auto" w:fill="FFFFFF" w:themeFill="background1"/>
          </w:tcPr>
          <w:p w:rsidR="00D57EC4" w:rsidRPr="00CF4C4E" w:rsidRDefault="007B0298" w:rsidP="00CF4C4E">
            <w:pPr>
              <w:shd w:val="clear" w:color="auto" w:fill="FFFFFF" w:themeFill="background1"/>
              <w:rPr>
                <w:color w:val="auto"/>
                <w:sz w:val="20"/>
                <w:szCs w:val="20"/>
                <w:lang w:val="en-GB"/>
              </w:rPr>
            </w:pPr>
            <w:r w:rsidRPr="00CF4C4E">
              <w:rPr>
                <w:color w:val="auto"/>
                <w:sz w:val="20"/>
                <w:szCs w:val="20"/>
                <w:lang w:val="en-GB"/>
              </w:rPr>
              <w:t>2019</w:t>
            </w:r>
          </w:p>
        </w:tc>
        <w:tc>
          <w:tcPr>
            <w:tcW w:w="1243" w:type="dxa"/>
            <w:tcBorders>
              <w:top w:val="double" w:sz="4" w:space="0" w:color="auto"/>
              <w:bottom w:val="double" w:sz="4" w:space="0" w:color="auto"/>
            </w:tcBorders>
            <w:shd w:val="clear" w:color="auto" w:fill="FFFFFF" w:themeFill="background1"/>
          </w:tcPr>
          <w:p w:rsidR="00D57EC4" w:rsidRPr="00CF4C4E" w:rsidRDefault="007B0298" w:rsidP="00CF4C4E">
            <w:pPr>
              <w:shd w:val="clear" w:color="auto" w:fill="FFFFFF" w:themeFill="background1"/>
              <w:rPr>
                <w:color w:val="auto"/>
                <w:sz w:val="20"/>
                <w:szCs w:val="20"/>
                <w:lang w:val="en-GB"/>
              </w:rPr>
            </w:pPr>
            <w:r w:rsidRPr="00CF4C4E">
              <w:rPr>
                <w:color w:val="auto"/>
                <w:sz w:val="20"/>
                <w:szCs w:val="20"/>
                <w:lang w:val="en-GB"/>
              </w:rPr>
              <w:t>Yes.</w:t>
            </w:r>
          </w:p>
        </w:tc>
        <w:tc>
          <w:tcPr>
            <w:tcW w:w="1276" w:type="dxa"/>
            <w:tcBorders>
              <w:top w:val="double" w:sz="4" w:space="0" w:color="auto"/>
              <w:bottom w:val="double" w:sz="4" w:space="0" w:color="auto"/>
            </w:tcBorders>
            <w:shd w:val="clear" w:color="auto" w:fill="FFFFFF" w:themeFill="background1"/>
          </w:tcPr>
          <w:p w:rsidR="00D57EC4" w:rsidRPr="00CF4C4E" w:rsidRDefault="007B0298" w:rsidP="00CF4C4E">
            <w:pPr>
              <w:shd w:val="clear" w:color="auto" w:fill="FFFFFF" w:themeFill="background1"/>
              <w:rPr>
                <w:color w:val="auto"/>
                <w:sz w:val="20"/>
                <w:szCs w:val="20"/>
                <w:lang w:val="en-GB"/>
              </w:rPr>
            </w:pPr>
            <w:r w:rsidRPr="00CF4C4E">
              <w:rPr>
                <w:color w:val="auto"/>
                <w:sz w:val="20"/>
                <w:szCs w:val="20"/>
                <w:lang w:val="en-GB"/>
              </w:rPr>
              <w:t>Yes.</w:t>
            </w:r>
          </w:p>
        </w:tc>
        <w:tc>
          <w:tcPr>
            <w:tcW w:w="2268" w:type="dxa"/>
            <w:tcBorders>
              <w:top w:val="double" w:sz="4" w:space="0" w:color="auto"/>
              <w:bottom w:val="double" w:sz="4" w:space="0" w:color="auto"/>
              <w:right w:val="double" w:sz="4" w:space="0" w:color="auto"/>
            </w:tcBorders>
            <w:shd w:val="clear" w:color="auto" w:fill="FFFFFF" w:themeFill="background1"/>
          </w:tcPr>
          <w:p w:rsidR="00D57EC4" w:rsidRPr="00CF4C4E" w:rsidRDefault="007B0298" w:rsidP="00CF4C4E">
            <w:pPr>
              <w:shd w:val="clear" w:color="auto" w:fill="FFFFFF" w:themeFill="background1"/>
              <w:rPr>
                <w:color w:val="auto"/>
                <w:sz w:val="20"/>
                <w:szCs w:val="20"/>
                <w:lang w:val="en-GB"/>
              </w:rPr>
            </w:pPr>
            <w:r w:rsidRPr="00CF4C4E">
              <w:rPr>
                <w:color w:val="auto"/>
                <w:sz w:val="20"/>
                <w:szCs w:val="20"/>
                <w:lang w:val="en-GB"/>
              </w:rPr>
              <w:t>Yes.</w:t>
            </w:r>
          </w:p>
        </w:tc>
      </w:tr>
      <w:tr w:rsidR="007B0298" w:rsidRPr="00CF4C4E" w:rsidTr="00DF0DDF">
        <w:trPr>
          <w:trHeight w:val="254"/>
        </w:trPr>
        <w:tc>
          <w:tcPr>
            <w:tcW w:w="3136" w:type="dxa"/>
            <w:tcBorders>
              <w:top w:val="double" w:sz="4" w:space="0" w:color="auto"/>
              <w:bottom w:val="double" w:sz="4" w:space="0" w:color="auto"/>
            </w:tcBorders>
            <w:shd w:val="clear" w:color="auto" w:fill="FFFFFF" w:themeFill="background1"/>
          </w:tcPr>
          <w:p w:rsidR="007B0298" w:rsidRPr="00CF4C4E" w:rsidRDefault="00F700E0" w:rsidP="00CF4C4E">
            <w:pPr>
              <w:jc w:val="both"/>
              <w:rPr>
                <w:color w:val="auto"/>
                <w:sz w:val="20"/>
                <w:szCs w:val="20"/>
                <w:lang w:val="en-GB"/>
              </w:rPr>
            </w:pPr>
            <w:r w:rsidRPr="00CF4C4E">
              <w:rPr>
                <w:color w:val="auto"/>
                <w:sz w:val="20"/>
                <w:szCs w:val="20"/>
                <w:lang w:val="en-GB"/>
              </w:rPr>
              <w:t>Improved situation with respect to immediate outcome 8 under the FATF Methodology, annually</w:t>
            </w:r>
          </w:p>
        </w:tc>
        <w:tc>
          <w:tcPr>
            <w:tcW w:w="1442" w:type="dxa"/>
            <w:tcBorders>
              <w:top w:val="double" w:sz="4" w:space="0" w:color="auto"/>
              <w:bottom w:val="double" w:sz="4" w:space="0" w:color="auto"/>
            </w:tcBorders>
            <w:shd w:val="clear" w:color="auto" w:fill="FFFFFF" w:themeFill="background1"/>
          </w:tcPr>
          <w:p w:rsidR="007B0298" w:rsidRPr="00CF4C4E" w:rsidRDefault="007B0298" w:rsidP="00CF4C4E">
            <w:pPr>
              <w:shd w:val="clear" w:color="auto" w:fill="FFFFFF" w:themeFill="background1"/>
              <w:rPr>
                <w:color w:val="auto"/>
                <w:sz w:val="20"/>
                <w:szCs w:val="20"/>
                <w:lang w:val="en-GB"/>
              </w:rPr>
            </w:pPr>
            <w:r w:rsidRPr="00CF4C4E">
              <w:rPr>
                <w:color w:val="auto"/>
                <w:sz w:val="20"/>
                <w:szCs w:val="20"/>
                <w:lang w:val="en-GB"/>
              </w:rPr>
              <w:t>Yes/No</w:t>
            </w:r>
          </w:p>
        </w:tc>
        <w:tc>
          <w:tcPr>
            <w:tcW w:w="1367" w:type="dxa"/>
            <w:tcBorders>
              <w:top w:val="double" w:sz="4" w:space="0" w:color="auto"/>
              <w:bottom w:val="double" w:sz="4" w:space="0" w:color="auto"/>
            </w:tcBorders>
            <w:shd w:val="clear" w:color="auto" w:fill="FFFFFF" w:themeFill="background1"/>
          </w:tcPr>
          <w:p w:rsidR="007B0298" w:rsidRPr="00CF4C4E" w:rsidRDefault="007B0298" w:rsidP="00CF4C4E">
            <w:pPr>
              <w:shd w:val="clear" w:color="auto" w:fill="FFFFFF" w:themeFill="background1"/>
              <w:rPr>
                <w:color w:val="auto"/>
                <w:sz w:val="20"/>
                <w:szCs w:val="20"/>
                <w:lang w:val="en-GB"/>
              </w:rPr>
            </w:pPr>
            <w:r w:rsidRPr="00CF4C4E">
              <w:rPr>
                <w:color w:val="auto"/>
                <w:sz w:val="20"/>
                <w:szCs w:val="20"/>
                <w:lang w:val="en-GB"/>
              </w:rPr>
              <w:t>Reports by competent authorities; Moneyval report</w:t>
            </w:r>
          </w:p>
        </w:tc>
        <w:tc>
          <w:tcPr>
            <w:tcW w:w="1743" w:type="dxa"/>
            <w:tcBorders>
              <w:top w:val="double" w:sz="4" w:space="0" w:color="auto"/>
              <w:bottom w:val="double" w:sz="4" w:space="0" w:color="auto"/>
            </w:tcBorders>
            <w:shd w:val="clear" w:color="auto" w:fill="FFFFFF" w:themeFill="background1"/>
          </w:tcPr>
          <w:p w:rsidR="007B0298" w:rsidRPr="00CF4C4E" w:rsidRDefault="00434EDC" w:rsidP="00CF4C4E">
            <w:pPr>
              <w:shd w:val="clear" w:color="auto" w:fill="FFFFFF" w:themeFill="background1"/>
              <w:rPr>
                <w:color w:val="auto"/>
                <w:sz w:val="20"/>
                <w:szCs w:val="20"/>
                <w:lang w:val="en-GB"/>
              </w:rPr>
            </w:pPr>
            <w:r w:rsidRPr="00CF4C4E">
              <w:rPr>
                <w:color w:val="auto"/>
                <w:sz w:val="20"/>
                <w:szCs w:val="20"/>
                <w:lang w:val="en-GB"/>
              </w:rPr>
              <w:t>-</w:t>
            </w:r>
          </w:p>
        </w:tc>
        <w:tc>
          <w:tcPr>
            <w:tcW w:w="1657" w:type="dxa"/>
            <w:tcBorders>
              <w:top w:val="double" w:sz="4" w:space="0" w:color="auto"/>
              <w:bottom w:val="double" w:sz="4" w:space="0" w:color="auto"/>
            </w:tcBorders>
            <w:shd w:val="clear" w:color="auto" w:fill="FFFFFF" w:themeFill="background1"/>
          </w:tcPr>
          <w:p w:rsidR="007B0298" w:rsidRPr="00CF4C4E" w:rsidRDefault="007B0298" w:rsidP="00CF4C4E">
            <w:pPr>
              <w:shd w:val="clear" w:color="auto" w:fill="FFFFFF" w:themeFill="background1"/>
              <w:rPr>
                <w:color w:val="auto"/>
                <w:sz w:val="20"/>
                <w:szCs w:val="20"/>
                <w:lang w:val="en-GB"/>
              </w:rPr>
            </w:pPr>
            <w:r w:rsidRPr="00CF4C4E">
              <w:rPr>
                <w:color w:val="auto"/>
                <w:sz w:val="20"/>
                <w:szCs w:val="20"/>
                <w:lang w:val="en-GB"/>
              </w:rPr>
              <w:t>2016</w:t>
            </w:r>
          </w:p>
        </w:tc>
        <w:tc>
          <w:tcPr>
            <w:tcW w:w="1243" w:type="dxa"/>
            <w:tcBorders>
              <w:top w:val="double" w:sz="4" w:space="0" w:color="auto"/>
              <w:bottom w:val="double" w:sz="4" w:space="0" w:color="auto"/>
            </w:tcBorders>
            <w:shd w:val="clear" w:color="auto" w:fill="FFFFFF" w:themeFill="background1"/>
          </w:tcPr>
          <w:p w:rsidR="007B0298" w:rsidRPr="00CF4C4E" w:rsidRDefault="007B0298" w:rsidP="00CF4C4E">
            <w:pPr>
              <w:shd w:val="clear" w:color="auto" w:fill="FFFFFF" w:themeFill="background1"/>
              <w:rPr>
                <w:color w:val="auto"/>
                <w:sz w:val="20"/>
                <w:szCs w:val="20"/>
                <w:lang w:val="en-GB"/>
              </w:rPr>
            </w:pPr>
            <w:r w:rsidRPr="00CF4C4E">
              <w:rPr>
                <w:color w:val="auto"/>
                <w:sz w:val="20"/>
                <w:szCs w:val="20"/>
                <w:lang w:val="en-GB"/>
              </w:rPr>
              <w:t>Yes.</w:t>
            </w:r>
          </w:p>
        </w:tc>
        <w:tc>
          <w:tcPr>
            <w:tcW w:w="1276" w:type="dxa"/>
            <w:tcBorders>
              <w:top w:val="double" w:sz="4" w:space="0" w:color="auto"/>
              <w:bottom w:val="double" w:sz="4" w:space="0" w:color="auto"/>
            </w:tcBorders>
            <w:shd w:val="clear" w:color="auto" w:fill="FFFFFF" w:themeFill="background1"/>
          </w:tcPr>
          <w:p w:rsidR="007B0298" w:rsidRPr="00CF4C4E" w:rsidRDefault="007B0298" w:rsidP="00CF4C4E">
            <w:pPr>
              <w:shd w:val="clear" w:color="auto" w:fill="FFFFFF" w:themeFill="background1"/>
              <w:rPr>
                <w:color w:val="auto"/>
                <w:sz w:val="20"/>
                <w:szCs w:val="20"/>
                <w:lang w:val="en-GB"/>
              </w:rPr>
            </w:pPr>
            <w:r w:rsidRPr="00CF4C4E">
              <w:rPr>
                <w:color w:val="auto"/>
                <w:sz w:val="20"/>
                <w:szCs w:val="20"/>
                <w:lang w:val="en-GB"/>
              </w:rPr>
              <w:t>Yes.</w:t>
            </w:r>
          </w:p>
        </w:tc>
        <w:tc>
          <w:tcPr>
            <w:tcW w:w="2268" w:type="dxa"/>
            <w:tcBorders>
              <w:top w:val="double" w:sz="4" w:space="0" w:color="auto"/>
              <w:bottom w:val="double" w:sz="4" w:space="0" w:color="auto"/>
              <w:right w:val="double" w:sz="4" w:space="0" w:color="auto"/>
            </w:tcBorders>
            <w:shd w:val="clear" w:color="auto" w:fill="FFFFFF" w:themeFill="background1"/>
          </w:tcPr>
          <w:p w:rsidR="007B0298" w:rsidRPr="00CF4C4E" w:rsidRDefault="007B0298" w:rsidP="00CF4C4E">
            <w:pPr>
              <w:shd w:val="clear" w:color="auto" w:fill="FFFFFF" w:themeFill="background1"/>
              <w:rPr>
                <w:color w:val="auto"/>
                <w:sz w:val="20"/>
                <w:szCs w:val="20"/>
                <w:lang w:val="en-GB"/>
              </w:rPr>
            </w:pPr>
            <w:r w:rsidRPr="00CF4C4E">
              <w:rPr>
                <w:color w:val="auto"/>
                <w:sz w:val="20"/>
                <w:szCs w:val="20"/>
                <w:lang w:val="en-GB"/>
              </w:rPr>
              <w:t>Yes.</w:t>
            </w:r>
          </w:p>
        </w:tc>
      </w:tr>
    </w:tbl>
    <w:p w:rsidR="00D57EC4" w:rsidRPr="00CF4C4E" w:rsidRDefault="00D57EC4" w:rsidP="00CF4C4E">
      <w:pPr>
        <w:tabs>
          <w:tab w:val="left" w:pos="1940"/>
        </w:tabs>
        <w:rPr>
          <w:sz w:val="20"/>
          <w:szCs w:val="20"/>
          <w:lang w:val="en-GB"/>
        </w:rPr>
      </w:pPr>
    </w:p>
    <w:tbl>
      <w:tblPr>
        <w:tblStyle w:val="TableGrid"/>
        <w:tblW w:w="14132" w:type="dxa"/>
        <w:tblInd w:w="10" w:type="dxa"/>
        <w:tblLayout w:type="fixed"/>
        <w:tblLook w:val="04A0"/>
      </w:tblPr>
      <w:tblGrid>
        <w:gridCol w:w="3149"/>
        <w:gridCol w:w="1202"/>
        <w:gridCol w:w="1984"/>
        <w:gridCol w:w="567"/>
        <w:gridCol w:w="1276"/>
        <w:gridCol w:w="1559"/>
        <w:gridCol w:w="1134"/>
        <w:gridCol w:w="1560"/>
        <w:gridCol w:w="1701"/>
      </w:tblGrid>
      <w:tr w:rsidR="00D57EC4" w:rsidRPr="00CF4C4E" w:rsidTr="00DF0DDF">
        <w:trPr>
          <w:trHeight w:val="169"/>
        </w:trPr>
        <w:tc>
          <w:tcPr>
            <w:tcW w:w="14132" w:type="dxa"/>
            <w:gridSpan w:val="9"/>
            <w:tcBorders>
              <w:top w:val="double" w:sz="4" w:space="0" w:color="auto"/>
              <w:left w:val="double" w:sz="4" w:space="0" w:color="auto"/>
              <w:right w:val="double" w:sz="4" w:space="0" w:color="auto"/>
            </w:tcBorders>
            <w:shd w:val="clear" w:color="auto" w:fill="E5B8B7" w:themeFill="accent2" w:themeFillTint="66"/>
          </w:tcPr>
          <w:p w:rsidR="00F3448F" w:rsidRPr="00CF4C4E" w:rsidRDefault="00D57EC4" w:rsidP="00CF4C4E">
            <w:pPr>
              <w:pStyle w:val="Heading3"/>
              <w:spacing w:before="0"/>
              <w:rPr>
                <w:rFonts w:cs="Times New Roman"/>
                <w:szCs w:val="20"/>
                <w:lang w:val="en-GB"/>
              </w:rPr>
            </w:pPr>
            <w:bookmarkStart w:id="11" w:name="_Toc32409915"/>
            <w:r w:rsidRPr="00CF4C4E">
              <w:rPr>
                <w:rFonts w:cs="Times New Roman"/>
                <w:szCs w:val="20"/>
                <w:lang w:val="en-GB"/>
              </w:rPr>
              <w:t>Measure 3.1:</w:t>
            </w:r>
            <w:r w:rsidRPr="00CF4C4E">
              <w:rPr>
                <w:rFonts w:cs="Times New Roman"/>
                <w:b w:val="0"/>
                <w:bCs w:val="0"/>
                <w:szCs w:val="20"/>
                <w:lang w:val="en-GB"/>
              </w:rPr>
              <w:t xml:space="preserve"> </w:t>
            </w:r>
            <w:r w:rsidRPr="00CF4C4E">
              <w:rPr>
                <w:rFonts w:cs="Times New Roman"/>
                <w:szCs w:val="20"/>
                <w:lang w:val="en-GB"/>
              </w:rPr>
              <w:t>Improvement of effectiveness of state authorities competent for detecting, prosecuting and trying money laundering offences in line with the results of the NRA and recommendations by Moneyval in course of the evaluation process of the Republic of Serbia</w:t>
            </w:r>
            <w:bookmarkEnd w:id="11"/>
          </w:p>
        </w:tc>
      </w:tr>
      <w:tr w:rsidR="00D57EC4" w:rsidRPr="00CF4C4E" w:rsidTr="00DF0DDF">
        <w:trPr>
          <w:trHeight w:val="300"/>
        </w:trPr>
        <w:tc>
          <w:tcPr>
            <w:tcW w:w="14132" w:type="dxa"/>
            <w:gridSpan w:val="9"/>
            <w:tcBorders>
              <w:top w:val="double" w:sz="4" w:space="0" w:color="auto"/>
              <w:left w:val="double" w:sz="4" w:space="0" w:color="auto"/>
              <w:bottom w:val="double" w:sz="4" w:space="0" w:color="auto"/>
              <w:right w:val="double" w:sz="4" w:space="0" w:color="auto"/>
            </w:tcBorders>
            <w:shd w:val="clear" w:color="auto" w:fill="E5B8B7" w:themeFill="accent2" w:themeFillTint="66"/>
            <w:vAlign w:val="center"/>
          </w:tcPr>
          <w:p w:rsidR="00D57EC4" w:rsidRPr="00CF4C4E" w:rsidRDefault="00D57EC4" w:rsidP="00CF4C4E">
            <w:pPr>
              <w:rPr>
                <w:sz w:val="20"/>
                <w:szCs w:val="20"/>
                <w:lang w:val="en-GB"/>
              </w:rPr>
            </w:pPr>
            <w:r w:rsidRPr="00CF4C4E">
              <w:rPr>
                <w:rFonts w:eastAsia="Times New Roman"/>
                <w:color w:val="222222"/>
                <w:sz w:val="20"/>
                <w:szCs w:val="20"/>
                <w:lang w:val="en-GB"/>
              </w:rPr>
              <w:t>Institution responsible for monitoring and control of implementation: Coordination Body for the Prevention of Money Laundering and the Financing of Terrorism (AML/CFT CB)</w:t>
            </w:r>
          </w:p>
        </w:tc>
      </w:tr>
      <w:tr w:rsidR="00D57EC4" w:rsidRPr="00CF4C4E" w:rsidTr="00DF0DDF">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E5B8B7" w:themeFill="accent2" w:themeFillTint="66"/>
          </w:tcPr>
          <w:p w:rsidR="00D57EC4" w:rsidRPr="00CF4C4E" w:rsidRDefault="00D57EC4" w:rsidP="00CF4C4E">
            <w:pPr>
              <w:rPr>
                <w:sz w:val="20"/>
                <w:szCs w:val="20"/>
                <w:lang w:val="en-GB"/>
              </w:rPr>
            </w:pPr>
            <w:r w:rsidRPr="00CF4C4E">
              <w:rPr>
                <w:sz w:val="20"/>
                <w:szCs w:val="20"/>
                <w:lang w:val="en-GB"/>
              </w:rPr>
              <w:t>Implementation period: 2020-2022</w:t>
            </w:r>
          </w:p>
        </w:tc>
        <w:tc>
          <w:tcPr>
            <w:tcW w:w="7230" w:type="dxa"/>
            <w:gridSpan w:val="5"/>
            <w:tcBorders>
              <w:top w:val="double" w:sz="4" w:space="0" w:color="auto"/>
              <w:left w:val="double" w:sz="4" w:space="0" w:color="auto"/>
              <w:bottom w:val="double" w:sz="4" w:space="0" w:color="auto"/>
              <w:right w:val="double" w:sz="4" w:space="0" w:color="auto"/>
            </w:tcBorders>
            <w:shd w:val="clear" w:color="auto" w:fill="E5B8B7" w:themeFill="accent2" w:themeFillTint="66"/>
          </w:tcPr>
          <w:p w:rsidR="00D57EC4" w:rsidRPr="00CF4C4E" w:rsidRDefault="00D57EC4" w:rsidP="00CF4C4E">
            <w:pPr>
              <w:rPr>
                <w:sz w:val="20"/>
                <w:szCs w:val="20"/>
                <w:lang w:val="en-GB"/>
              </w:rPr>
            </w:pPr>
            <w:r w:rsidRPr="00CF4C4E">
              <w:rPr>
                <w:sz w:val="20"/>
                <w:szCs w:val="20"/>
                <w:lang w:val="en-GB"/>
              </w:rPr>
              <w:t>Type of measure: Institutional/managerial/organisational</w:t>
            </w:r>
          </w:p>
        </w:tc>
      </w:tr>
      <w:tr w:rsidR="00F3347F" w:rsidRPr="00CF4C4E" w:rsidTr="00DF0DDF">
        <w:trPr>
          <w:trHeight w:val="955"/>
        </w:trPr>
        <w:tc>
          <w:tcPr>
            <w:tcW w:w="3149" w:type="dxa"/>
            <w:tcBorders>
              <w:top w:val="double" w:sz="4" w:space="0" w:color="auto"/>
            </w:tcBorders>
            <w:shd w:val="clear" w:color="auto" w:fill="D9D9D9" w:themeFill="background1" w:themeFillShade="D9"/>
          </w:tcPr>
          <w:p w:rsidR="00F3347F" w:rsidRPr="00CF4C4E" w:rsidRDefault="00F3347F" w:rsidP="00CF4C4E">
            <w:pPr>
              <w:rPr>
                <w:sz w:val="20"/>
                <w:szCs w:val="20"/>
                <w:lang w:val="en-GB"/>
              </w:rPr>
            </w:pPr>
            <w:r w:rsidRPr="00CF4C4E">
              <w:rPr>
                <w:sz w:val="20"/>
                <w:szCs w:val="20"/>
                <w:lang w:val="en-GB"/>
              </w:rPr>
              <w:t>Indicator(s) at the level of measure (result indicator):</w:t>
            </w:r>
          </w:p>
        </w:tc>
        <w:tc>
          <w:tcPr>
            <w:tcW w:w="1202" w:type="dxa"/>
            <w:tcBorders>
              <w:top w:val="double" w:sz="4" w:space="0" w:color="auto"/>
            </w:tcBorders>
            <w:shd w:val="clear" w:color="auto" w:fill="D9D9D9" w:themeFill="background1" w:themeFillShade="D9"/>
          </w:tcPr>
          <w:p w:rsidR="00F3347F" w:rsidRPr="00CF4C4E" w:rsidRDefault="00F3347F" w:rsidP="00CF4C4E">
            <w:pPr>
              <w:rPr>
                <w:sz w:val="20"/>
                <w:szCs w:val="20"/>
                <w:lang w:val="en-GB"/>
              </w:rPr>
            </w:pPr>
            <w:r w:rsidRPr="00CF4C4E">
              <w:rPr>
                <w:sz w:val="20"/>
                <w:szCs w:val="20"/>
                <w:lang w:val="en-GB"/>
              </w:rPr>
              <w:t>Unit of measurement</w:t>
            </w:r>
          </w:p>
          <w:p w:rsidR="00F3347F" w:rsidRPr="00CF4C4E" w:rsidRDefault="00F3347F" w:rsidP="00CF4C4E">
            <w:pPr>
              <w:rPr>
                <w:sz w:val="20"/>
                <w:szCs w:val="20"/>
                <w:lang w:val="en-GB"/>
              </w:rPr>
            </w:pPr>
          </w:p>
        </w:tc>
        <w:tc>
          <w:tcPr>
            <w:tcW w:w="1984" w:type="dxa"/>
            <w:tcBorders>
              <w:top w:val="double" w:sz="4" w:space="0" w:color="auto"/>
            </w:tcBorders>
            <w:shd w:val="clear" w:color="auto" w:fill="D9D9D9" w:themeFill="background1" w:themeFillShade="D9"/>
          </w:tcPr>
          <w:p w:rsidR="00F3347F" w:rsidRPr="00CF4C4E" w:rsidRDefault="00F3347F" w:rsidP="00CF4C4E">
            <w:pPr>
              <w:rPr>
                <w:sz w:val="20"/>
                <w:szCs w:val="20"/>
                <w:lang w:val="en-GB"/>
              </w:rPr>
            </w:pPr>
            <w:r w:rsidRPr="00CF4C4E">
              <w:rPr>
                <w:sz w:val="20"/>
                <w:szCs w:val="20"/>
                <w:lang w:val="en-GB"/>
              </w:rPr>
              <w:t>Source of verification</w:t>
            </w:r>
          </w:p>
        </w:tc>
        <w:tc>
          <w:tcPr>
            <w:tcW w:w="1843" w:type="dxa"/>
            <w:gridSpan w:val="2"/>
            <w:tcBorders>
              <w:top w:val="double" w:sz="4" w:space="0" w:color="auto"/>
            </w:tcBorders>
            <w:shd w:val="clear" w:color="auto" w:fill="D9D9D9" w:themeFill="background1" w:themeFillShade="D9"/>
          </w:tcPr>
          <w:p w:rsidR="00F3347F" w:rsidRPr="00CF4C4E" w:rsidRDefault="00F3347F" w:rsidP="00CF4C4E">
            <w:pPr>
              <w:rPr>
                <w:sz w:val="20"/>
                <w:szCs w:val="20"/>
                <w:lang w:val="en-GB"/>
              </w:rPr>
            </w:pPr>
            <w:r w:rsidRPr="00CF4C4E">
              <w:rPr>
                <w:sz w:val="20"/>
                <w:szCs w:val="20"/>
                <w:lang w:val="en-GB"/>
              </w:rPr>
              <w:t xml:space="preserve">Base value </w:t>
            </w:r>
          </w:p>
        </w:tc>
        <w:tc>
          <w:tcPr>
            <w:tcW w:w="1559" w:type="dxa"/>
            <w:tcBorders>
              <w:top w:val="double" w:sz="4" w:space="0" w:color="auto"/>
            </w:tcBorders>
            <w:shd w:val="clear" w:color="auto" w:fill="D9D9D9" w:themeFill="background1" w:themeFillShade="D9"/>
          </w:tcPr>
          <w:p w:rsidR="00F3347F" w:rsidRPr="00CF4C4E" w:rsidRDefault="00F3347F" w:rsidP="00CF4C4E">
            <w:pPr>
              <w:rPr>
                <w:sz w:val="20"/>
                <w:szCs w:val="20"/>
                <w:lang w:val="en-GB"/>
              </w:rPr>
            </w:pPr>
            <w:r w:rsidRPr="00CF4C4E">
              <w:rPr>
                <w:sz w:val="20"/>
                <w:szCs w:val="20"/>
                <w:lang w:val="en-GB"/>
              </w:rPr>
              <w:t>Base year</w:t>
            </w:r>
          </w:p>
        </w:tc>
        <w:tc>
          <w:tcPr>
            <w:tcW w:w="1134" w:type="dxa"/>
            <w:tcBorders>
              <w:top w:val="double" w:sz="4" w:space="0" w:color="auto"/>
            </w:tcBorders>
            <w:shd w:val="clear" w:color="auto" w:fill="D9D9D9" w:themeFill="background1" w:themeFillShade="D9"/>
          </w:tcPr>
          <w:p w:rsidR="00F3347F" w:rsidRPr="00CF4C4E" w:rsidRDefault="00F3347F" w:rsidP="00CF4C4E">
            <w:pPr>
              <w:rPr>
                <w:sz w:val="20"/>
                <w:szCs w:val="20"/>
                <w:lang w:val="en-GB"/>
              </w:rPr>
            </w:pPr>
            <w:r w:rsidRPr="00CF4C4E">
              <w:rPr>
                <w:sz w:val="20"/>
                <w:szCs w:val="20"/>
                <w:lang w:val="en-GB"/>
              </w:rPr>
              <w:t>Target value in 2020</w:t>
            </w:r>
          </w:p>
        </w:tc>
        <w:tc>
          <w:tcPr>
            <w:tcW w:w="1560" w:type="dxa"/>
            <w:tcBorders>
              <w:top w:val="double" w:sz="4" w:space="0" w:color="auto"/>
              <w:right w:val="double" w:sz="4" w:space="0" w:color="auto"/>
            </w:tcBorders>
            <w:shd w:val="clear" w:color="auto" w:fill="D9D9D9" w:themeFill="background1" w:themeFillShade="D9"/>
          </w:tcPr>
          <w:p w:rsidR="00F3347F" w:rsidRPr="00CF4C4E" w:rsidRDefault="00F3347F" w:rsidP="00CF4C4E">
            <w:pPr>
              <w:rPr>
                <w:sz w:val="20"/>
                <w:szCs w:val="20"/>
                <w:lang w:val="en-GB"/>
              </w:rPr>
            </w:pPr>
            <w:r w:rsidRPr="00CF4C4E">
              <w:rPr>
                <w:sz w:val="20"/>
                <w:szCs w:val="20"/>
                <w:lang w:val="en-GB"/>
              </w:rPr>
              <w:t>Target value in 2021</w:t>
            </w:r>
          </w:p>
        </w:tc>
        <w:tc>
          <w:tcPr>
            <w:tcW w:w="1701" w:type="dxa"/>
            <w:tcBorders>
              <w:top w:val="double" w:sz="4" w:space="0" w:color="auto"/>
              <w:right w:val="double" w:sz="4" w:space="0" w:color="auto"/>
            </w:tcBorders>
            <w:shd w:val="clear" w:color="auto" w:fill="D9D9D9" w:themeFill="background1" w:themeFillShade="D9"/>
          </w:tcPr>
          <w:p w:rsidR="00F3347F" w:rsidRPr="00CF4C4E" w:rsidRDefault="00885F9C" w:rsidP="00CF4C4E">
            <w:pPr>
              <w:rPr>
                <w:sz w:val="20"/>
                <w:szCs w:val="20"/>
                <w:lang w:val="en-GB"/>
              </w:rPr>
            </w:pPr>
            <w:r w:rsidRPr="00CF4C4E">
              <w:rPr>
                <w:sz w:val="20"/>
                <w:szCs w:val="20"/>
                <w:lang w:val="en-GB"/>
              </w:rPr>
              <w:t>Target value in 2022</w:t>
            </w:r>
          </w:p>
        </w:tc>
      </w:tr>
      <w:tr w:rsidR="004C04D7" w:rsidRPr="00CF4C4E" w:rsidTr="00DF0DDF">
        <w:trPr>
          <w:trHeight w:val="304"/>
        </w:trPr>
        <w:tc>
          <w:tcPr>
            <w:tcW w:w="3149" w:type="dxa"/>
            <w:tcBorders>
              <w:top w:val="double" w:sz="4" w:space="0" w:color="auto"/>
              <w:bottom w:val="double" w:sz="4" w:space="0" w:color="auto"/>
            </w:tcBorders>
            <w:shd w:val="clear" w:color="auto" w:fill="FFFFFF" w:themeFill="background1"/>
          </w:tcPr>
          <w:p w:rsidR="004C04D7" w:rsidRPr="00CF4C4E" w:rsidRDefault="001B2108" w:rsidP="00CF4C4E">
            <w:pPr>
              <w:shd w:val="clear" w:color="auto" w:fill="FFFFFF" w:themeFill="background1"/>
              <w:rPr>
                <w:color w:val="auto"/>
                <w:sz w:val="20"/>
                <w:szCs w:val="20"/>
                <w:lang w:val="en-GB"/>
              </w:rPr>
            </w:pPr>
            <w:r w:rsidRPr="00CF4C4E">
              <w:rPr>
                <w:color w:val="auto"/>
                <w:sz w:val="20"/>
                <w:szCs w:val="20"/>
                <w:lang w:val="en-GB"/>
              </w:rPr>
              <w:t>Progress on immediate outcome 6 under the FATF Methodology, annually</w:t>
            </w:r>
          </w:p>
        </w:tc>
        <w:tc>
          <w:tcPr>
            <w:tcW w:w="1202" w:type="dxa"/>
            <w:tcBorders>
              <w:top w:val="double" w:sz="4" w:space="0" w:color="auto"/>
              <w:bottom w:val="double" w:sz="4" w:space="0" w:color="auto"/>
            </w:tcBorders>
            <w:shd w:val="clear" w:color="auto" w:fill="FFFFFF" w:themeFill="background1"/>
          </w:tcPr>
          <w:p w:rsidR="004C04D7" w:rsidRPr="00CF4C4E" w:rsidRDefault="004E74BC" w:rsidP="00CF4C4E">
            <w:pPr>
              <w:shd w:val="clear" w:color="auto" w:fill="FFFFFF" w:themeFill="background1"/>
              <w:rPr>
                <w:color w:val="auto"/>
                <w:sz w:val="20"/>
                <w:szCs w:val="20"/>
                <w:lang w:val="en-GB"/>
              </w:rPr>
            </w:pPr>
            <w:r w:rsidRPr="00CF4C4E">
              <w:rPr>
                <w:color w:val="auto"/>
                <w:sz w:val="20"/>
                <w:szCs w:val="20"/>
                <w:lang w:val="en-GB"/>
              </w:rPr>
              <w:t>Yes/No</w:t>
            </w:r>
          </w:p>
        </w:tc>
        <w:tc>
          <w:tcPr>
            <w:tcW w:w="1984" w:type="dxa"/>
            <w:tcBorders>
              <w:top w:val="double" w:sz="4" w:space="0" w:color="auto"/>
              <w:bottom w:val="double" w:sz="4" w:space="0" w:color="auto"/>
            </w:tcBorders>
            <w:shd w:val="clear" w:color="auto" w:fill="FFFFFF" w:themeFill="background1"/>
          </w:tcPr>
          <w:p w:rsidR="004C04D7" w:rsidRPr="00CF4C4E" w:rsidRDefault="004E74BC" w:rsidP="00CF4C4E">
            <w:pPr>
              <w:shd w:val="clear" w:color="auto" w:fill="FFFFFF" w:themeFill="background1"/>
              <w:rPr>
                <w:color w:val="auto"/>
                <w:sz w:val="20"/>
                <w:szCs w:val="20"/>
                <w:lang w:val="en-GB"/>
              </w:rPr>
            </w:pPr>
            <w:r w:rsidRPr="00CF4C4E">
              <w:rPr>
                <w:color w:val="auto"/>
                <w:sz w:val="20"/>
                <w:szCs w:val="20"/>
                <w:lang w:val="en-GB"/>
              </w:rPr>
              <w:t>Progress reports by competent authorities; Moneyval report</w:t>
            </w:r>
          </w:p>
        </w:tc>
        <w:tc>
          <w:tcPr>
            <w:tcW w:w="1843" w:type="dxa"/>
            <w:gridSpan w:val="2"/>
            <w:tcBorders>
              <w:top w:val="double" w:sz="4" w:space="0" w:color="auto"/>
              <w:bottom w:val="double" w:sz="4" w:space="0" w:color="auto"/>
            </w:tcBorders>
            <w:shd w:val="clear" w:color="auto" w:fill="FFFFFF" w:themeFill="background1"/>
          </w:tcPr>
          <w:p w:rsidR="004C04D7" w:rsidRPr="00CF4C4E" w:rsidRDefault="004E74BC" w:rsidP="00CF4C4E">
            <w:pPr>
              <w:shd w:val="clear" w:color="auto" w:fill="FFFFFF" w:themeFill="background1"/>
              <w:rPr>
                <w:color w:val="auto"/>
                <w:sz w:val="20"/>
                <w:szCs w:val="20"/>
                <w:lang w:val="en-GB"/>
              </w:rPr>
            </w:pPr>
            <w:r w:rsidRPr="00CF4C4E">
              <w:rPr>
                <w:color w:val="auto"/>
                <w:sz w:val="20"/>
                <w:szCs w:val="20"/>
                <w:lang w:val="en-GB"/>
              </w:rPr>
              <w:t>Yes.</w:t>
            </w:r>
          </w:p>
        </w:tc>
        <w:tc>
          <w:tcPr>
            <w:tcW w:w="1559" w:type="dxa"/>
            <w:tcBorders>
              <w:top w:val="double" w:sz="4" w:space="0" w:color="auto"/>
              <w:bottom w:val="double" w:sz="4" w:space="0" w:color="auto"/>
            </w:tcBorders>
            <w:shd w:val="clear" w:color="auto" w:fill="FFFFFF" w:themeFill="background1"/>
          </w:tcPr>
          <w:p w:rsidR="004C04D7" w:rsidRPr="00CF4C4E" w:rsidRDefault="004E74BC" w:rsidP="00CF4C4E">
            <w:pPr>
              <w:shd w:val="clear" w:color="auto" w:fill="FFFFFF" w:themeFill="background1"/>
              <w:rPr>
                <w:color w:val="auto"/>
                <w:sz w:val="20"/>
                <w:szCs w:val="20"/>
                <w:lang w:val="en-GB"/>
              </w:rPr>
            </w:pPr>
            <w:r w:rsidRPr="00CF4C4E">
              <w:rPr>
                <w:color w:val="auto"/>
                <w:sz w:val="20"/>
                <w:szCs w:val="20"/>
                <w:lang w:val="en-GB"/>
              </w:rPr>
              <w:t>2019</w:t>
            </w:r>
          </w:p>
        </w:tc>
        <w:tc>
          <w:tcPr>
            <w:tcW w:w="1134" w:type="dxa"/>
            <w:tcBorders>
              <w:top w:val="double" w:sz="4" w:space="0" w:color="auto"/>
              <w:bottom w:val="double" w:sz="4" w:space="0" w:color="auto"/>
            </w:tcBorders>
            <w:shd w:val="clear" w:color="auto" w:fill="FFFFFF" w:themeFill="background1"/>
          </w:tcPr>
          <w:p w:rsidR="004C04D7" w:rsidRPr="00CF4C4E" w:rsidRDefault="004E74BC" w:rsidP="00CF4C4E">
            <w:pPr>
              <w:shd w:val="clear" w:color="auto" w:fill="FFFFFF" w:themeFill="background1"/>
              <w:rPr>
                <w:color w:val="auto"/>
                <w:sz w:val="20"/>
                <w:szCs w:val="20"/>
                <w:lang w:val="en-GB"/>
              </w:rPr>
            </w:pPr>
            <w:r w:rsidRPr="00CF4C4E">
              <w:rPr>
                <w:color w:val="auto"/>
                <w:sz w:val="20"/>
                <w:szCs w:val="20"/>
                <w:lang w:val="en-GB"/>
              </w:rPr>
              <w:t>Yes.</w:t>
            </w:r>
          </w:p>
        </w:tc>
        <w:tc>
          <w:tcPr>
            <w:tcW w:w="1560" w:type="dxa"/>
            <w:tcBorders>
              <w:top w:val="double" w:sz="4" w:space="0" w:color="auto"/>
              <w:bottom w:val="double" w:sz="4" w:space="0" w:color="auto"/>
              <w:right w:val="double" w:sz="4" w:space="0" w:color="auto"/>
            </w:tcBorders>
            <w:shd w:val="clear" w:color="auto" w:fill="FFFFFF" w:themeFill="background1"/>
          </w:tcPr>
          <w:p w:rsidR="004C04D7" w:rsidRPr="00CF4C4E" w:rsidRDefault="004E74BC" w:rsidP="00CF4C4E">
            <w:pPr>
              <w:shd w:val="clear" w:color="auto" w:fill="FFFFFF" w:themeFill="background1"/>
              <w:rPr>
                <w:color w:val="auto"/>
                <w:sz w:val="20"/>
                <w:szCs w:val="20"/>
                <w:lang w:val="en-GB"/>
              </w:rPr>
            </w:pPr>
            <w:r w:rsidRPr="00CF4C4E">
              <w:rPr>
                <w:color w:val="auto"/>
                <w:sz w:val="20"/>
                <w:szCs w:val="20"/>
                <w:lang w:val="en-GB"/>
              </w:rPr>
              <w:t>Yes.</w:t>
            </w:r>
          </w:p>
        </w:tc>
        <w:tc>
          <w:tcPr>
            <w:tcW w:w="1701" w:type="dxa"/>
            <w:tcBorders>
              <w:top w:val="double" w:sz="4" w:space="0" w:color="auto"/>
              <w:bottom w:val="double" w:sz="4" w:space="0" w:color="auto"/>
              <w:right w:val="double" w:sz="4" w:space="0" w:color="auto"/>
            </w:tcBorders>
            <w:shd w:val="clear" w:color="auto" w:fill="FFFFFF" w:themeFill="background1"/>
          </w:tcPr>
          <w:p w:rsidR="004C04D7" w:rsidRPr="00CF4C4E" w:rsidRDefault="004E74BC" w:rsidP="00CF4C4E">
            <w:pPr>
              <w:shd w:val="clear" w:color="auto" w:fill="FFFFFF" w:themeFill="background1"/>
              <w:rPr>
                <w:color w:val="auto"/>
                <w:sz w:val="20"/>
                <w:szCs w:val="20"/>
                <w:lang w:val="en-GB"/>
              </w:rPr>
            </w:pPr>
            <w:r w:rsidRPr="00CF4C4E">
              <w:rPr>
                <w:color w:val="auto"/>
                <w:sz w:val="20"/>
                <w:szCs w:val="20"/>
                <w:lang w:val="en-GB"/>
              </w:rPr>
              <w:t>Yes.</w:t>
            </w:r>
          </w:p>
        </w:tc>
      </w:tr>
      <w:tr w:rsidR="004E74BC" w:rsidRPr="00CF4C4E" w:rsidTr="00DF0DDF">
        <w:trPr>
          <w:trHeight w:val="304"/>
        </w:trPr>
        <w:tc>
          <w:tcPr>
            <w:tcW w:w="3149" w:type="dxa"/>
            <w:tcBorders>
              <w:top w:val="double" w:sz="4" w:space="0" w:color="auto"/>
              <w:bottom w:val="double" w:sz="4" w:space="0" w:color="auto"/>
            </w:tcBorders>
            <w:shd w:val="clear" w:color="auto" w:fill="FFFFFF" w:themeFill="background1"/>
          </w:tcPr>
          <w:p w:rsidR="004E74BC" w:rsidRPr="00CF4C4E" w:rsidRDefault="001B2108" w:rsidP="00CF4C4E">
            <w:pPr>
              <w:shd w:val="clear" w:color="auto" w:fill="FFFFFF" w:themeFill="background1"/>
              <w:rPr>
                <w:color w:val="auto"/>
                <w:sz w:val="20"/>
                <w:szCs w:val="20"/>
                <w:lang w:val="en-GB"/>
              </w:rPr>
            </w:pPr>
            <w:r w:rsidRPr="00CF4C4E">
              <w:rPr>
                <w:color w:val="auto"/>
                <w:sz w:val="20"/>
                <w:szCs w:val="20"/>
                <w:lang w:val="en-GB"/>
              </w:rPr>
              <w:t>Progress on immediate outcome 7 under the FATF Methodology, annually</w:t>
            </w:r>
          </w:p>
        </w:tc>
        <w:tc>
          <w:tcPr>
            <w:tcW w:w="1202" w:type="dxa"/>
            <w:tcBorders>
              <w:top w:val="double" w:sz="4" w:space="0" w:color="auto"/>
              <w:bottom w:val="double" w:sz="4" w:space="0" w:color="auto"/>
            </w:tcBorders>
            <w:shd w:val="clear" w:color="auto" w:fill="FFFFFF" w:themeFill="background1"/>
          </w:tcPr>
          <w:p w:rsidR="004E74BC" w:rsidRPr="00CF4C4E" w:rsidRDefault="004E74BC" w:rsidP="00CF4C4E">
            <w:pPr>
              <w:shd w:val="clear" w:color="auto" w:fill="FFFFFF" w:themeFill="background1"/>
              <w:rPr>
                <w:color w:val="auto"/>
                <w:sz w:val="20"/>
                <w:szCs w:val="20"/>
                <w:lang w:val="en-GB"/>
              </w:rPr>
            </w:pPr>
            <w:r w:rsidRPr="00CF4C4E">
              <w:rPr>
                <w:color w:val="auto"/>
                <w:sz w:val="20"/>
                <w:szCs w:val="20"/>
                <w:lang w:val="en-GB"/>
              </w:rPr>
              <w:t>Yes/No</w:t>
            </w:r>
          </w:p>
        </w:tc>
        <w:tc>
          <w:tcPr>
            <w:tcW w:w="1984" w:type="dxa"/>
            <w:tcBorders>
              <w:top w:val="double" w:sz="4" w:space="0" w:color="auto"/>
              <w:bottom w:val="double" w:sz="4" w:space="0" w:color="auto"/>
            </w:tcBorders>
            <w:shd w:val="clear" w:color="auto" w:fill="FFFFFF" w:themeFill="background1"/>
          </w:tcPr>
          <w:p w:rsidR="004E74BC" w:rsidRPr="00CF4C4E" w:rsidRDefault="004E74BC" w:rsidP="00CF4C4E">
            <w:pPr>
              <w:shd w:val="clear" w:color="auto" w:fill="FFFFFF" w:themeFill="background1"/>
              <w:rPr>
                <w:color w:val="auto"/>
                <w:sz w:val="20"/>
                <w:szCs w:val="20"/>
                <w:lang w:val="en-GB"/>
              </w:rPr>
            </w:pPr>
            <w:r w:rsidRPr="00CF4C4E">
              <w:rPr>
                <w:color w:val="auto"/>
                <w:sz w:val="20"/>
                <w:szCs w:val="20"/>
                <w:lang w:val="en-GB"/>
              </w:rPr>
              <w:t>Progress reports by competent authorities; Moneyval report</w:t>
            </w:r>
          </w:p>
        </w:tc>
        <w:tc>
          <w:tcPr>
            <w:tcW w:w="1843" w:type="dxa"/>
            <w:gridSpan w:val="2"/>
            <w:tcBorders>
              <w:top w:val="double" w:sz="4" w:space="0" w:color="auto"/>
              <w:bottom w:val="double" w:sz="4" w:space="0" w:color="auto"/>
            </w:tcBorders>
            <w:shd w:val="clear" w:color="auto" w:fill="FFFFFF" w:themeFill="background1"/>
          </w:tcPr>
          <w:p w:rsidR="004E74BC" w:rsidRPr="00CF4C4E" w:rsidRDefault="004E74BC" w:rsidP="00CF4C4E">
            <w:pPr>
              <w:shd w:val="clear" w:color="auto" w:fill="FFFFFF" w:themeFill="background1"/>
              <w:rPr>
                <w:color w:val="auto"/>
                <w:sz w:val="20"/>
                <w:szCs w:val="20"/>
                <w:lang w:val="en-GB"/>
              </w:rPr>
            </w:pPr>
            <w:r w:rsidRPr="00CF4C4E">
              <w:rPr>
                <w:color w:val="auto"/>
                <w:sz w:val="20"/>
                <w:szCs w:val="20"/>
                <w:lang w:val="en-GB"/>
              </w:rPr>
              <w:t>Yes.</w:t>
            </w:r>
          </w:p>
        </w:tc>
        <w:tc>
          <w:tcPr>
            <w:tcW w:w="1559" w:type="dxa"/>
            <w:tcBorders>
              <w:top w:val="double" w:sz="4" w:space="0" w:color="auto"/>
              <w:bottom w:val="double" w:sz="4" w:space="0" w:color="auto"/>
            </w:tcBorders>
            <w:shd w:val="clear" w:color="auto" w:fill="FFFFFF" w:themeFill="background1"/>
          </w:tcPr>
          <w:p w:rsidR="004E74BC" w:rsidRPr="00CF4C4E" w:rsidRDefault="004E74BC" w:rsidP="00CF4C4E">
            <w:pPr>
              <w:shd w:val="clear" w:color="auto" w:fill="FFFFFF" w:themeFill="background1"/>
              <w:rPr>
                <w:sz w:val="20"/>
                <w:szCs w:val="20"/>
                <w:lang w:val="en-GB"/>
              </w:rPr>
            </w:pPr>
            <w:r w:rsidRPr="00CF4C4E">
              <w:rPr>
                <w:sz w:val="20"/>
                <w:szCs w:val="20"/>
                <w:lang w:val="en-GB"/>
              </w:rPr>
              <w:t>2019</w:t>
            </w:r>
          </w:p>
        </w:tc>
        <w:tc>
          <w:tcPr>
            <w:tcW w:w="1134" w:type="dxa"/>
            <w:tcBorders>
              <w:top w:val="double" w:sz="4" w:space="0" w:color="auto"/>
              <w:bottom w:val="double" w:sz="4" w:space="0" w:color="auto"/>
            </w:tcBorders>
            <w:shd w:val="clear" w:color="auto" w:fill="FFFFFF" w:themeFill="background1"/>
          </w:tcPr>
          <w:p w:rsidR="004E74BC" w:rsidRPr="00CF4C4E" w:rsidRDefault="004E74BC" w:rsidP="00CF4C4E">
            <w:pPr>
              <w:shd w:val="clear" w:color="auto" w:fill="FFFFFF" w:themeFill="background1"/>
              <w:rPr>
                <w:sz w:val="20"/>
                <w:szCs w:val="20"/>
                <w:lang w:val="en-GB"/>
              </w:rPr>
            </w:pPr>
            <w:r w:rsidRPr="00CF4C4E">
              <w:rPr>
                <w:sz w:val="20"/>
                <w:szCs w:val="20"/>
                <w:lang w:val="en-GB"/>
              </w:rPr>
              <w:t>Yes.</w:t>
            </w:r>
          </w:p>
        </w:tc>
        <w:tc>
          <w:tcPr>
            <w:tcW w:w="1560" w:type="dxa"/>
            <w:tcBorders>
              <w:top w:val="double" w:sz="4" w:space="0" w:color="auto"/>
              <w:bottom w:val="double" w:sz="4" w:space="0" w:color="auto"/>
              <w:right w:val="double" w:sz="4" w:space="0" w:color="auto"/>
            </w:tcBorders>
            <w:shd w:val="clear" w:color="auto" w:fill="FFFFFF" w:themeFill="background1"/>
          </w:tcPr>
          <w:p w:rsidR="004E74BC" w:rsidRPr="00CF4C4E" w:rsidRDefault="004E74BC" w:rsidP="00CF4C4E">
            <w:pPr>
              <w:shd w:val="clear" w:color="auto" w:fill="FFFFFF" w:themeFill="background1"/>
              <w:rPr>
                <w:sz w:val="20"/>
                <w:szCs w:val="20"/>
                <w:lang w:val="en-GB"/>
              </w:rPr>
            </w:pPr>
            <w:r w:rsidRPr="00CF4C4E">
              <w:rPr>
                <w:sz w:val="20"/>
                <w:szCs w:val="20"/>
                <w:lang w:val="en-GB"/>
              </w:rPr>
              <w:t>Yes.</w:t>
            </w:r>
          </w:p>
        </w:tc>
        <w:tc>
          <w:tcPr>
            <w:tcW w:w="1701" w:type="dxa"/>
            <w:tcBorders>
              <w:top w:val="double" w:sz="4" w:space="0" w:color="auto"/>
              <w:bottom w:val="double" w:sz="4" w:space="0" w:color="auto"/>
              <w:right w:val="double" w:sz="4" w:space="0" w:color="auto"/>
            </w:tcBorders>
            <w:shd w:val="clear" w:color="auto" w:fill="FFFFFF" w:themeFill="background1"/>
          </w:tcPr>
          <w:p w:rsidR="004E74BC" w:rsidRPr="00CF4C4E" w:rsidRDefault="004E74BC" w:rsidP="00CF4C4E">
            <w:pPr>
              <w:shd w:val="clear" w:color="auto" w:fill="FFFFFF" w:themeFill="background1"/>
              <w:rPr>
                <w:sz w:val="20"/>
                <w:szCs w:val="20"/>
                <w:lang w:val="en-GB"/>
              </w:rPr>
            </w:pPr>
            <w:r w:rsidRPr="00CF4C4E">
              <w:rPr>
                <w:sz w:val="20"/>
                <w:szCs w:val="20"/>
                <w:lang w:val="en-GB"/>
              </w:rPr>
              <w:t>Yes.</w:t>
            </w:r>
          </w:p>
        </w:tc>
      </w:tr>
    </w:tbl>
    <w:p w:rsidR="00D57EC4" w:rsidRPr="00CF4C4E" w:rsidRDefault="00D57EC4" w:rsidP="00CF4C4E">
      <w:pPr>
        <w:tabs>
          <w:tab w:val="left" w:pos="1940"/>
        </w:tabs>
        <w:rPr>
          <w:sz w:val="20"/>
          <w:szCs w:val="20"/>
          <w:lang w:val="en-GB"/>
        </w:rPr>
      </w:pPr>
    </w:p>
    <w:tbl>
      <w:tblPr>
        <w:tblStyle w:val="TableGrid"/>
        <w:tblW w:w="5000" w:type="pct"/>
        <w:tblLayout w:type="fixed"/>
        <w:tblLook w:val="04A0"/>
      </w:tblPr>
      <w:tblGrid>
        <w:gridCol w:w="2558"/>
        <w:gridCol w:w="1074"/>
        <w:gridCol w:w="1372"/>
        <w:gridCol w:w="1066"/>
        <w:gridCol w:w="1525"/>
        <w:gridCol w:w="1066"/>
        <w:gridCol w:w="2007"/>
        <w:gridCol w:w="1525"/>
        <w:gridCol w:w="1982"/>
      </w:tblGrid>
      <w:tr w:rsidR="00C50116" w:rsidRPr="00CF4C4E" w:rsidTr="008C09AC">
        <w:trPr>
          <w:trHeight w:val="140"/>
        </w:trPr>
        <w:tc>
          <w:tcPr>
            <w:tcW w:w="902" w:type="pct"/>
            <w:vMerge w:val="restart"/>
            <w:tcBorders>
              <w:top w:val="double" w:sz="4" w:space="0" w:color="auto"/>
              <w:left w:val="double" w:sz="4" w:space="0" w:color="auto"/>
            </w:tcBorders>
            <w:shd w:val="clear" w:color="auto" w:fill="E5DFEC" w:themeFill="accent4" w:themeFillTint="33"/>
          </w:tcPr>
          <w:p w:rsidR="00F86F91" w:rsidRPr="00CF4C4E" w:rsidRDefault="00F86F91" w:rsidP="00CF4C4E">
            <w:pPr>
              <w:rPr>
                <w:b/>
                <w:sz w:val="20"/>
                <w:szCs w:val="20"/>
                <w:lang w:val="en-GB"/>
              </w:rPr>
            </w:pPr>
            <w:r w:rsidRPr="00CF4C4E">
              <w:rPr>
                <w:b/>
                <w:bCs/>
                <w:sz w:val="20"/>
                <w:szCs w:val="20"/>
                <w:lang w:val="en-GB"/>
              </w:rPr>
              <w:t>Activity title:</w:t>
            </w:r>
          </w:p>
        </w:tc>
        <w:tc>
          <w:tcPr>
            <w:tcW w:w="379" w:type="pct"/>
            <w:vMerge w:val="restart"/>
            <w:tcBorders>
              <w:top w:val="double" w:sz="4" w:space="0" w:color="auto"/>
            </w:tcBorders>
            <w:shd w:val="clear" w:color="auto" w:fill="E5DFEC" w:themeFill="accent4" w:themeFillTint="33"/>
          </w:tcPr>
          <w:p w:rsidR="00F86F91" w:rsidRPr="00CF4C4E" w:rsidRDefault="00F86F91" w:rsidP="00CF4C4E">
            <w:pPr>
              <w:rPr>
                <w:b/>
                <w:sz w:val="20"/>
                <w:szCs w:val="20"/>
                <w:lang w:val="en-GB"/>
              </w:rPr>
            </w:pPr>
            <w:r w:rsidRPr="00CF4C4E">
              <w:rPr>
                <w:b/>
                <w:bCs/>
                <w:sz w:val="20"/>
                <w:szCs w:val="20"/>
                <w:lang w:val="en-GB"/>
              </w:rPr>
              <w:t>Authority implementing the activity</w:t>
            </w:r>
          </w:p>
        </w:tc>
        <w:tc>
          <w:tcPr>
            <w:tcW w:w="484" w:type="pct"/>
            <w:vMerge w:val="restart"/>
            <w:tcBorders>
              <w:top w:val="double" w:sz="4" w:space="0" w:color="auto"/>
            </w:tcBorders>
            <w:shd w:val="clear" w:color="auto" w:fill="E5DFEC" w:themeFill="accent4" w:themeFillTint="33"/>
          </w:tcPr>
          <w:p w:rsidR="00F86F91" w:rsidRPr="00CF4C4E" w:rsidRDefault="00F86F91" w:rsidP="00CF4C4E">
            <w:pPr>
              <w:rPr>
                <w:b/>
                <w:sz w:val="20"/>
                <w:szCs w:val="20"/>
                <w:lang w:val="en-GB"/>
              </w:rPr>
            </w:pPr>
            <w:r w:rsidRPr="00CF4C4E">
              <w:rPr>
                <w:b/>
                <w:bCs/>
                <w:sz w:val="20"/>
                <w:szCs w:val="20"/>
                <w:lang w:val="en-GB"/>
              </w:rPr>
              <w:t>Partners in the implementation of the activity</w:t>
            </w:r>
          </w:p>
        </w:tc>
        <w:tc>
          <w:tcPr>
            <w:tcW w:w="376" w:type="pct"/>
            <w:vMerge w:val="restart"/>
            <w:tcBorders>
              <w:top w:val="double" w:sz="4" w:space="0" w:color="auto"/>
            </w:tcBorders>
            <w:shd w:val="clear" w:color="auto" w:fill="E5DFEC" w:themeFill="accent4" w:themeFillTint="33"/>
          </w:tcPr>
          <w:p w:rsidR="00F86F91" w:rsidRPr="00CF4C4E" w:rsidRDefault="00F86F91" w:rsidP="00CF4C4E">
            <w:pPr>
              <w:jc w:val="center"/>
              <w:rPr>
                <w:b/>
                <w:sz w:val="20"/>
                <w:szCs w:val="20"/>
                <w:lang w:val="en-GB"/>
              </w:rPr>
            </w:pPr>
            <w:r w:rsidRPr="00CF4C4E">
              <w:rPr>
                <w:b/>
                <w:bCs/>
                <w:sz w:val="20"/>
                <w:szCs w:val="20"/>
                <w:lang w:val="en-GB"/>
              </w:rPr>
              <w:t>Deadline for completion of activity</w:t>
            </w:r>
          </w:p>
        </w:tc>
        <w:tc>
          <w:tcPr>
            <w:tcW w:w="538" w:type="pct"/>
            <w:vMerge w:val="restart"/>
            <w:tcBorders>
              <w:top w:val="double" w:sz="4" w:space="0" w:color="auto"/>
            </w:tcBorders>
            <w:shd w:val="clear" w:color="auto" w:fill="E5DFEC" w:themeFill="accent4" w:themeFillTint="33"/>
          </w:tcPr>
          <w:p w:rsidR="00F86F91" w:rsidRPr="00CF4C4E" w:rsidRDefault="00F86F91" w:rsidP="00CF4C4E">
            <w:pPr>
              <w:jc w:val="center"/>
              <w:rPr>
                <w:b/>
                <w:sz w:val="20"/>
                <w:szCs w:val="20"/>
                <w:lang w:val="en-GB"/>
              </w:rPr>
            </w:pPr>
            <w:r w:rsidRPr="00CF4C4E">
              <w:rPr>
                <w:b/>
                <w:bCs/>
                <w:sz w:val="20"/>
                <w:szCs w:val="20"/>
                <w:lang w:val="en-GB"/>
              </w:rPr>
              <w:t>Source of financing</w:t>
            </w:r>
          </w:p>
        </w:tc>
        <w:tc>
          <w:tcPr>
            <w:tcW w:w="376" w:type="pct"/>
            <w:vMerge w:val="restart"/>
            <w:tcBorders>
              <w:top w:val="double" w:sz="4" w:space="0" w:color="auto"/>
            </w:tcBorders>
            <w:shd w:val="clear" w:color="auto" w:fill="E5DFEC" w:themeFill="accent4" w:themeFillTint="33"/>
          </w:tcPr>
          <w:p w:rsidR="00F86F91" w:rsidRPr="00CF4C4E" w:rsidRDefault="00F86F91" w:rsidP="00CF4C4E">
            <w:pPr>
              <w:rPr>
                <w:b/>
                <w:sz w:val="20"/>
                <w:szCs w:val="20"/>
                <w:lang w:val="en-GB"/>
              </w:rPr>
            </w:pPr>
            <w:r w:rsidRPr="00CF4C4E">
              <w:rPr>
                <w:b/>
                <w:bCs/>
                <w:sz w:val="20"/>
                <w:szCs w:val="20"/>
                <w:lang w:val="en-GB"/>
              </w:rPr>
              <w:t>Link to programme budget</w:t>
            </w:r>
          </w:p>
          <w:p w:rsidR="00F86F91" w:rsidRPr="00CF4C4E" w:rsidRDefault="00F86F91" w:rsidP="00CF4C4E">
            <w:pPr>
              <w:jc w:val="center"/>
              <w:rPr>
                <w:b/>
                <w:sz w:val="20"/>
                <w:szCs w:val="20"/>
                <w:lang w:val="en-GB"/>
              </w:rPr>
            </w:pPr>
          </w:p>
        </w:tc>
        <w:tc>
          <w:tcPr>
            <w:tcW w:w="1945" w:type="pct"/>
            <w:gridSpan w:val="3"/>
            <w:tcBorders>
              <w:top w:val="double" w:sz="4" w:space="0" w:color="auto"/>
            </w:tcBorders>
            <w:shd w:val="clear" w:color="auto" w:fill="E5DFEC" w:themeFill="accent4" w:themeFillTint="33"/>
          </w:tcPr>
          <w:p w:rsidR="00F86F91" w:rsidRPr="00CF4C4E" w:rsidRDefault="00F86F91" w:rsidP="00CF4C4E">
            <w:pPr>
              <w:jc w:val="center"/>
              <w:rPr>
                <w:b/>
                <w:sz w:val="20"/>
                <w:szCs w:val="20"/>
                <w:lang w:val="en-GB"/>
              </w:rPr>
            </w:pPr>
            <w:r w:rsidRPr="00CF4C4E">
              <w:rPr>
                <w:b/>
                <w:bCs/>
                <w:sz w:val="20"/>
                <w:szCs w:val="20"/>
                <w:lang w:val="en-GB"/>
              </w:rPr>
              <w:t>Total assessed financial resources by source in RSD 000</w:t>
            </w:r>
            <w:r w:rsidRPr="00CF4C4E">
              <w:rPr>
                <w:rStyle w:val="FootnoteReference"/>
                <w:sz w:val="20"/>
                <w:szCs w:val="20"/>
                <w:lang w:val="en-GB"/>
              </w:rPr>
              <w:t xml:space="preserve"> </w:t>
            </w:r>
          </w:p>
        </w:tc>
      </w:tr>
      <w:tr w:rsidR="00C50116" w:rsidRPr="00CF4C4E" w:rsidTr="008C09AC">
        <w:trPr>
          <w:trHeight w:val="662"/>
        </w:trPr>
        <w:tc>
          <w:tcPr>
            <w:tcW w:w="902" w:type="pct"/>
            <w:vMerge/>
            <w:tcBorders>
              <w:left w:val="double" w:sz="4" w:space="0" w:color="auto"/>
            </w:tcBorders>
            <w:shd w:val="clear" w:color="auto" w:fill="E5DFEC" w:themeFill="accent4" w:themeFillTint="33"/>
          </w:tcPr>
          <w:p w:rsidR="001B4CBD" w:rsidRPr="00CF4C4E" w:rsidRDefault="001B4CBD" w:rsidP="00CF4C4E">
            <w:pPr>
              <w:rPr>
                <w:sz w:val="20"/>
                <w:szCs w:val="20"/>
                <w:lang w:val="en-GB"/>
              </w:rPr>
            </w:pPr>
          </w:p>
        </w:tc>
        <w:tc>
          <w:tcPr>
            <w:tcW w:w="379" w:type="pct"/>
            <w:vMerge/>
            <w:shd w:val="clear" w:color="auto" w:fill="E5DFEC" w:themeFill="accent4" w:themeFillTint="33"/>
          </w:tcPr>
          <w:p w:rsidR="001B4CBD" w:rsidRPr="00CF4C4E" w:rsidRDefault="001B4CBD" w:rsidP="00CF4C4E">
            <w:pPr>
              <w:rPr>
                <w:sz w:val="20"/>
                <w:szCs w:val="20"/>
                <w:lang w:val="en-GB"/>
              </w:rPr>
            </w:pPr>
          </w:p>
        </w:tc>
        <w:tc>
          <w:tcPr>
            <w:tcW w:w="484" w:type="pct"/>
            <w:vMerge/>
            <w:shd w:val="clear" w:color="auto" w:fill="E5DFEC" w:themeFill="accent4" w:themeFillTint="33"/>
          </w:tcPr>
          <w:p w:rsidR="001B4CBD" w:rsidRPr="00CF4C4E" w:rsidRDefault="001B4CBD" w:rsidP="00CF4C4E">
            <w:pPr>
              <w:rPr>
                <w:sz w:val="20"/>
                <w:szCs w:val="20"/>
                <w:lang w:val="en-GB"/>
              </w:rPr>
            </w:pPr>
          </w:p>
        </w:tc>
        <w:tc>
          <w:tcPr>
            <w:tcW w:w="376" w:type="pct"/>
            <w:vMerge/>
            <w:shd w:val="clear" w:color="auto" w:fill="E5DFEC" w:themeFill="accent4" w:themeFillTint="33"/>
          </w:tcPr>
          <w:p w:rsidR="001B4CBD" w:rsidRPr="00CF4C4E" w:rsidRDefault="001B4CBD" w:rsidP="00CF4C4E">
            <w:pPr>
              <w:jc w:val="center"/>
              <w:rPr>
                <w:sz w:val="20"/>
                <w:szCs w:val="20"/>
                <w:lang w:val="en-GB"/>
              </w:rPr>
            </w:pPr>
          </w:p>
        </w:tc>
        <w:tc>
          <w:tcPr>
            <w:tcW w:w="538" w:type="pct"/>
            <w:vMerge/>
            <w:shd w:val="clear" w:color="auto" w:fill="E5DFEC" w:themeFill="accent4" w:themeFillTint="33"/>
          </w:tcPr>
          <w:p w:rsidR="001B4CBD" w:rsidRPr="00CF4C4E" w:rsidRDefault="001B4CBD" w:rsidP="00CF4C4E">
            <w:pPr>
              <w:jc w:val="center"/>
              <w:rPr>
                <w:sz w:val="20"/>
                <w:szCs w:val="20"/>
                <w:lang w:val="en-GB"/>
              </w:rPr>
            </w:pPr>
          </w:p>
        </w:tc>
        <w:tc>
          <w:tcPr>
            <w:tcW w:w="376" w:type="pct"/>
            <w:vMerge/>
            <w:shd w:val="clear" w:color="auto" w:fill="E5DFEC" w:themeFill="accent4" w:themeFillTint="33"/>
          </w:tcPr>
          <w:p w:rsidR="001B4CBD" w:rsidRPr="00CF4C4E" w:rsidRDefault="001B4CBD" w:rsidP="00CF4C4E">
            <w:pPr>
              <w:jc w:val="center"/>
              <w:rPr>
                <w:sz w:val="20"/>
                <w:szCs w:val="20"/>
                <w:lang w:val="en-GB"/>
              </w:rPr>
            </w:pPr>
          </w:p>
        </w:tc>
        <w:tc>
          <w:tcPr>
            <w:tcW w:w="708" w:type="pct"/>
            <w:shd w:val="clear" w:color="auto" w:fill="E5DFEC" w:themeFill="accent4" w:themeFillTint="33"/>
          </w:tcPr>
          <w:p w:rsidR="001B4CBD" w:rsidRPr="00CF4C4E" w:rsidRDefault="001B4CBD" w:rsidP="00CF4C4E">
            <w:pPr>
              <w:jc w:val="center"/>
              <w:rPr>
                <w:b/>
                <w:sz w:val="20"/>
                <w:szCs w:val="20"/>
                <w:lang w:val="en-GB"/>
              </w:rPr>
            </w:pPr>
            <w:r w:rsidRPr="00CF4C4E">
              <w:rPr>
                <w:b/>
                <w:bCs/>
                <w:sz w:val="20"/>
                <w:szCs w:val="20"/>
                <w:lang w:val="en-GB"/>
              </w:rPr>
              <w:t>2020</w:t>
            </w:r>
          </w:p>
        </w:tc>
        <w:tc>
          <w:tcPr>
            <w:tcW w:w="538" w:type="pct"/>
            <w:shd w:val="clear" w:color="auto" w:fill="E5DFEC" w:themeFill="accent4" w:themeFillTint="33"/>
          </w:tcPr>
          <w:p w:rsidR="001B4CBD" w:rsidRPr="00CF4C4E" w:rsidRDefault="001B4CBD" w:rsidP="00CF4C4E">
            <w:pPr>
              <w:jc w:val="center"/>
              <w:rPr>
                <w:b/>
                <w:sz w:val="20"/>
                <w:szCs w:val="20"/>
                <w:lang w:val="en-GB"/>
              </w:rPr>
            </w:pPr>
            <w:r w:rsidRPr="00CF4C4E">
              <w:rPr>
                <w:b/>
                <w:bCs/>
                <w:sz w:val="20"/>
                <w:szCs w:val="20"/>
                <w:lang w:val="en-GB"/>
              </w:rPr>
              <w:t>2021</w:t>
            </w:r>
          </w:p>
        </w:tc>
        <w:tc>
          <w:tcPr>
            <w:tcW w:w="699" w:type="pct"/>
            <w:shd w:val="clear" w:color="auto" w:fill="E5DFEC" w:themeFill="accent4" w:themeFillTint="33"/>
          </w:tcPr>
          <w:p w:rsidR="001B4CBD" w:rsidRPr="00CF4C4E" w:rsidRDefault="001B4CBD" w:rsidP="00CF4C4E">
            <w:pPr>
              <w:jc w:val="center"/>
              <w:rPr>
                <w:b/>
                <w:sz w:val="20"/>
                <w:szCs w:val="20"/>
                <w:lang w:val="en-GB"/>
              </w:rPr>
            </w:pPr>
            <w:r w:rsidRPr="00CF4C4E">
              <w:rPr>
                <w:b/>
                <w:bCs/>
                <w:sz w:val="20"/>
                <w:szCs w:val="20"/>
                <w:lang w:val="en-GB"/>
              </w:rPr>
              <w:t>2022</w:t>
            </w:r>
          </w:p>
        </w:tc>
      </w:tr>
      <w:tr w:rsidR="00C50116" w:rsidRPr="00CF4C4E" w:rsidTr="00CF4C4E">
        <w:trPr>
          <w:trHeight w:val="2306"/>
        </w:trPr>
        <w:tc>
          <w:tcPr>
            <w:tcW w:w="902" w:type="pct"/>
            <w:tcBorders>
              <w:left w:val="double" w:sz="4" w:space="0" w:color="auto"/>
            </w:tcBorders>
          </w:tcPr>
          <w:p w:rsidR="00C50116" w:rsidRPr="00CF4C4E" w:rsidRDefault="00C50116" w:rsidP="00CF4C4E">
            <w:pPr>
              <w:rPr>
                <w:sz w:val="20"/>
                <w:szCs w:val="20"/>
                <w:lang w:val="en-GB"/>
              </w:rPr>
            </w:pPr>
            <w:r w:rsidRPr="00CF4C4E">
              <w:rPr>
                <w:sz w:val="20"/>
                <w:szCs w:val="20"/>
                <w:lang w:val="en-GB"/>
              </w:rPr>
              <w:t xml:space="preserve">3.1.1. Analyse current cooperation agreements between RPPO and other authorities concerning the exchange of data and information in relation to ML for the purpose of efficient detection and prosecution of the criminal offence of money laundering </w:t>
            </w:r>
          </w:p>
        </w:tc>
        <w:tc>
          <w:tcPr>
            <w:tcW w:w="379" w:type="pct"/>
          </w:tcPr>
          <w:p w:rsidR="00C50116" w:rsidRPr="00CF4C4E" w:rsidRDefault="00C50116" w:rsidP="00CF4C4E">
            <w:pPr>
              <w:rPr>
                <w:sz w:val="20"/>
                <w:szCs w:val="20"/>
                <w:lang w:val="en-GB"/>
              </w:rPr>
            </w:pPr>
            <w:r w:rsidRPr="00CF4C4E">
              <w:rPr>
                <w:sz w:val="20"/>
                <w:szCs w:val="20"/>
                <w:lang w:val="en-GB"/>
              </w:rPr>
              <w:t>RPPO</w:t>
            </w:r>
          </w:p>
        </w:tc>
        <w:tc>
          <w:tcPr>
            <w:tcW w:w="484" w:type="pct"/>
          </w:tcPr>
          <w:p w:rsidR="00C50116" w:rsidRPr="00CF4C4E" w:rsidRDefault="005768D4" w:rsidP="00CF4C4E">
            <w:pPr>
              <w:rPr>
                <w:sz w:val="20"/>
                <w:szCs w:val="20"/>
                <w:lang w:val="en-GB"/>
              </w:rPr>
            </w:pPr>
            <w:r w:rsidRPr="00CF4C4E">
              <w:rPr>
                <w:sz w:val="20"/>
                <w:szCs w:val="20"/>
                <w:lang w:val="en-GB"/>
              </w:rPr>
              <w:t>MoF-TA-TPol, MoF-CA, NBS, APML, SBRA, CSD, SAI, RGA, ACAS, NPDIF, NHIF, RSPD, PPA</w:t>
            </w:r>
          </w:p>
        </w:tc>
        <w:tc>
          <w:tcPr>
            <w:tcW w:w="376" w:type="pct"/>
          </w:tcPr>
          <w:p w:rsidR="00C50116" w:rsidRPr="00CF4C4E" w:rsidRDefault="008C09AC" w:rsidP="00CF4C4E">
            <w:pPr>
              <w:rPr>
                <w:sz w:val="20"/>
                <w:szCs w:val="20"/>
                <w:lang w:val="en-GB"/>
              </w:rPr>
            </w:pPr>
            <w:r w:rsidRPr="00CF4C4E">
              <w:rPr>
                <w:sz w:val="20"/>
                <w:szCs w:val="20"/>
                <w:lang w:val="en-GB"/>
              </w:rPr>
              <w:t>IV quarter of 2020</w:t>
            </w:r>
          </w:p>
        </w:tc>
        <w:tc>
          <w:tcPr>
            <w:tcW w:w="538" w:type="pct"/>
          </w:tcPr>
          <w:p w:rsidR="00DD68A6" w:rsidRPr="00CF4C4E" w:rsidRDefault="00DD68A6" w:rsidP="00CF4C4E">
            <w:pPr>
              <w:rPr>
                <w:sz w:val="20"/>
                <w:szCs w:val="20"/>
                <w:lang w:val="en-GB"/>
              </w:rPr>
            </w:pPr>
            <w:r w:rsidRPr="00CF4C4E">
              <w:rPr>
                <w:sz w:val="20"/>
                <w:szCs w:val="20"/>
                <w:lang w:val="en-GB"/>
              </w:rPr>
              <w:t>Financed as part of regular activities of staff</w:t>
            </w:r>
          </w:p>
          <w:p w:rsidR="00C50116" w:rsidRPr="00CF4C4E" w:rsidRDefault="00C50116" w:rsidP="00CF4C4E">
            <w:pPr>
              <w:rPr>
                <w:sz w:val="20"/>
                <w:szCs w:val="20"/>
                <w:lang w:val="en-GB"/>
              </w:rPr>
            </w:pPr>
          </w:p>
        </w:tc>
        <w:tc>
          <w:tcPr>
            <w:tcW w:w="376" w:type="pct"/>
          </w:tcPr>
          <w:p w:rsidR="00C50116" w:rsidRPr="00CF4C4E" w:rsidRDefault="00C50116" w:rsidP="00CF4C4E">
            <w:pPr>
              <w:rPr>
                <w:sz w:val="20"/>
                <w:szCs w:val="20"/>
                <w:lang w:val="en-GB"/>
              </w:rPr>
            </w:pPr>
          </w:p>
        </w:tc>
        <w:tc>
          <w:tcPr>
            <w:tcW w:w="708" w:type="pct"/>
          </w:tcPr>
          <w:p w:rsidR="00C50116" w:rsidRPr="00CF4C4E" w:rsidRDefault="00C50116" w:rsidP="00CF4C4E">
            <w:pPr>
              <w:rPr>
                <w:sz w:val="20"/>
                <w:szCs w:val="20"/>
                <w:lang w:val="en-GB"/>
              </w:rPr>
            </w:pPr>
          </w:p>
        </w:tc>
        <w:tc>
          <w:tcPr>
            <w:tcW w:w="538" w:type="pct"/>
          </w:tcPr>
          <w:p w:rsidR="00C50116" w:rsidRPr="00CF4C4E" w:rsidRDefault="00C50116" w:rsidP="00CF4C4E">
            <w:pPr>
              <w:rPr>
                <w:sz w:val="20"/>
                <w:szCs w:val="20"/>
                <w:lang w:val="en-GB"/>
              </w:rPr>
            </w:pPr>
          </w:p>
        </w:tc>
        <w:tc>
          <w:tcPr>
            <w:tcW w:w="699" w:type="pct"/>
          </w:tcPr>
          <w:p w:rsidR="00C50116" w:rsidRPr="00CF4C4E" w:rsidRDefault="00C50116" w:rsidP="00CF4C4E">
            <w:pPr>
              <w:rPr>
                <w:sz w:val="20"/>
                <w:szCs w:val="20"/>
                <w:lang w:val="en-GB"/>
              </w:rPr>
            </w:pPr>
          </w:p>
        </w:tc>
      </w:tr>
      <w:tr w:rsidR="009255B6" w:rsidRPr="00CF4C4E" w:rsidTr="009255B6">
        <w:trPr>
          <w:trHeight w:val="1408"/>
        </w:trPr>
        <w:tc>
          <w:tcPr>
            <w:tcW w:w="902" w:type="pct"/>
            <w:tcBorders>
              <w:left w:val="double" w:sz="4" w:space="0" w:color="auto"/>
            </w:tcBorders>
          </w:tcPr>
          <w:p w:rsidR="009255B6" w:rsidRPr="00CF4C4E" w:rsidRDefault="009255B6" w:rsidP="00CF4C4E">
            <w:pPr>
              <w:rPr>
                <w:sz w:val="20"/>
                <w:szCs w:val="20"/>
                <w:lang w:val="en-GB"/>
              </w:rPr>
            </w:pPr>
            <w:r w:rsidRPr="00CF4C4E">
              <w:rPr>
                <w:sz w:val="20"/>
                <w:szCs w:val="20"/>
                <w:lang w:val="en-GB"/>
              </w:rPr>
              <w:lastRenderedPageBreak/>
              <w:t xml:space="preserve">3.1.2. Enter into new or amend current cooperation agreements, as appropriate, in accordance with the findings of the analysis under 3.1.1 </w:t>
            </w:r>
          </w:p>
        </w:tc>
        <w:tc>
          <w:tcPr>
            <w:tcW w:w="379" w:type="pct"/>
          </w:tcPr>
          <w:p w:rsidR="009255B6" w:rsidRPr="00CF4C4E" w:rsidRDefault="009255B6" w:rsidP="00CF4C4E">
            <w:pPr>
              <w:rPr>
                <w:sz w:val="20"/>
                <w:szCs w:val="20"/>
                <w:lang w:val="en-GB"/>
              </w:rPr>
            </w:pPr>
            <w:r w:rsidRPr="00CF4C4E">
              <w:rPr>
                <w:sz w:val="20"/>
                <w:szCs w:val="20"/>
                <w:lang w:val="en-GB"/>
              </w:rPr>
              <w:t>RPPO</w:t>
            </w:r>
          </w:p>
        </w:tc>
        <w:tc>
          <w:tcPr>
            <w:tcW w:w="484" w:type="pct"/>
          </w:tcPr>
          <w:p w:rsidR="009255B6" w:rsidRPr="00CF4C4E" w:rsidRDefault="009255B6" w:rsidP="00CF4C4E">
            <w:pPr>
              <w:rPr>
                <w:sz w:val="20"/>
                <w:szCs w:val="20"/>
                <w:lang w:val="en-GB"/>
              </w:rPr>
            </w:pPr>
            <w:r w:rsidRPr="00CF4C4E">
              <w:rPr>
                <w:sz w:val="20"/>
                <w:szCs w:val="20"/>
                <w:lang w:val="en-GB"/>
              </w:rPr>
              <w:t>MoF-TA-TPol, MoF-CA, NBS, APML, SBRA, CSD, SAI, RGA, ACAS, NPDIF, NHIF, RSPD, PPA</w:t>
            </w:r>
          </w:p>
        </w:tc>
        <w:tc>
          <w:tcPr>
            <w:tcW w:w="376" w:type="pct"/>
          </w:tcPr>
          <w:p w:rsidR="009255B6" w:rsidRPr="00CF4C4E" w:rsidRDefault="009255B6" w:rsidP="00CF4C4E">
            <w:pPr>
              <w:rPr>
                <w:sz w:val="20"/>
                <w:szCs w:val="20"/>
                <w:lang w:val="en-GB"/>
              </w:rPr>
            </w:pPr>
            <w:r w:rsidRPr="00CF4C4E">
              <w:rPr>
                <w:sz w:val="20"/>
                <w:szCs w:val="20"/>
                <w:lang w:val="en-GB"/>
              </w:rPr>
              <w:t>IV quarter of 2022</w:t>
            </w:r>
          </w:p>
        </w:tc>
        <w:tc>
          <w:tcPr>
            <w:tcW w:w="538" w:type="pct"/>
          </w:tcPr>
          <w:p w:rsidR="009255B6" w:rsidRPr="00CF4C4E" w:rsidRDefault="009255B6" w:rsidP="00CF4C4E">
            <w:pPr>
              <w:rPr>
                <w:sz w:val="20"/>
                <w:szCs w:val="20"/>
                <w:lang w:val="en-GB"/>
              </w:rPr>
            </w:pPr>
            <w:r w:rsidRPr="00CF4C4E">
              <w:rPr>
                <w:sz w:val="20"/>
                <w:szCs w:val="20"/>
                <w:lang w:val="en-GB"/>
              </w:rPr>
              <w:t>Financed as part of regular activities of staff</w:t>
            </w:r>
          </w:p>
          <w:p w:rsidR="009255B6" w:rsidRPr="00CF4C4E" w:rsidRDefault="009255B6" w:rsidP="00CF4C4E">
            <w:pPr>
              <w:rPr>
                <w:sz w:val="20"/>
                <w:szCs w:val="20"/>
                <w:lang w:val="en-GB"/>
              </w:rPr>
            </w:pPr>
          </w:p>
        </w:tc>
        <w:tc>
          <w:tcPr>
            <w:tcW w:w="376" w:type="pct"/>
          </w:tcPr>
          <w:p w:rsidR="009255B6" w:rsidRPr="00CF4C4E" w:rsidRDefault="009255B6" w:rsidP="00CF4C4E">
            <w:pPr>
              <w:rPr>
                <w:sz w:val="20"/>
                <w:szCs w:val="20"/>
                <w:lang w:val="en-GB"/>
              </w:rPr>
            </w:pPr>
          </w:p>
        </w:tc>
        <w:tc>
          <w:tcPr>
            <w:tcW w:w="708" w:type="pct"/>
          </w:tcPr>
          <w:p w:rsidR="009255B6" w:rsidRPr="00CF4C4E" w:rsidRDefault="009255B6" w:rsidP="00CF4C4E">
            <w:pPr>
              <w:rPr>
                <w:sz w:val="20"/>
                <w:szCs w:val="20"/>
                <w:lang w:val="en-GB"/>
              </w:rPr>
            </w:pPr>
          </w:p>
        </w:tc>
        <w:tc>
          <w:tcPr>
            <w:tcW w:w="538" w:type="pct"/>
          </w:tcPr>
          <w:p w:rsidR="009255B6" w:rsidRPr="00CF4C4E" w:rsidRDefault="009255B6" w:rsidP="00CF4C4E">
            <w:pPr>
              <w:rPr>
                <w:sz w:val="20"/>
                <w:szCs w:val="20"/>
                <w:lang w:val="en-GB"/>
              </w:rPr>
            </w:pPr>
          </w:p>
        </w:tc>
        <w:tc>
          <w:tcPr>
            <w:tcW w:w="699" w:type="pct"/>
          </w:tcPr>
          <w:p w:rsidR="009255B6" w:rsidRPr="00CF4C4E" w:rsidRDefault="009255B6" w:rsidP="00CF4C4E">
            <w:pPr>
              <w:rPr>
                <w:sz w:val="20"/>
                <w:szCs w:val="20"/>
                <w:lang w:val="en-GB"/>
              </w:rPr>
            </w:pPr>
          </w:p>
        </w:tc>
      </w:tr>
      <w:tr w:rsidR="00C50116" w:rsidRPr="00CF4C4E" w:rsidTr="00FB1798">
        <w:trPr>
          <w:trHeight w:val="140"/>
        </w:trPr>
        <w:tc>
          <w:tcPr>
            <w:tcW w:w="902" w:type="pct"/>
            <w:tcBorders>
              <w:left w:val="double" w:sz="4" w:space="0" w:color="auto"/>
            </w:tcBorders>
          </w:tcPr>
          <w:p w:rsidR="00BF25A7" w:rsidRPr="00CF4C4E" w:rsidRDefault="009255B6" w:rsidP="00CF4C4E">
            <w:pPr>
              <w:rPr>
                <w:color w:val="auto"/>
                <w:sz w:val="20"/>
                <w:szCs w:val="20"/>
                <w:lang w:val="en-GB"/>
              </w:rPr>
            </w:pPr>
            <w:r w:rsidRPr="00CF4C4E">
              <w:rPr>
                <w:sz w:val="20"/>
                <w:szCs w:val="20"/>
                <w:lang w:val="en-GB"/>
              </w:rPr>
              <w:t xml:space="preserve">3.1.3. </w:t>
            </w:r>
            <w:r w:rsidRPr="00CF4C4E">
              <w:rPr>
                <w:color w:val="auto"/>
                <w:sz w:val="20"/>
                <w:szCs w:val="20"/>
                <w:lang w:val="en-GB"/>
              </w:rPr>
              <w:t>Prioritisation of money laundering cases in annual plans and programmes of the Prosecutor’s Office for Organised Crime and Higher Public Prosecutors’ Offices of Belgrade, Kraljevo, Nis and Novi Sad, and Higher Court of Belgrade, Kraljevo, Nis and Novi Sad, and Supreme Court of Cassation and Appellate Courts, especially in cases where predicate crimes involve the high-risk and high-value criminal offences</w:t>
            </w:r>
          </w:p>
        </w:tc>
        <w:tc>
          <w:tcPr>
            <w:tcW w:w="379" w:type="pct"/>
          </w:tcPr>
          <w:p w:rsidR="00C50116" w:rsidRPr="00CF4C4E" w:rsidRDefault="0055614B" w:rsidP="00CF4C4E">
            <w:pPr>
              <w:rPr>
                <w:sz w:val="20"/>
                <w:szCs w:val="20"/>
                <w:lang w:val="en-GB"/>
              </w:rPr>
            </w:pPr>
            <w:r w:rsidRPr="00CF4C4E">
              <w:rPr>
                <w:sz w:val="20"/>
                <w:szCs w:val="20"/>
                <w:lang w:val="en-GB"/>
              </w:rPr>
              <w:t>RPPO</w:t>
            </w:r>
          </w:p>
        </w:tc>
        <w:tc>
          <w:tcPr>
            <w:tcW w:w="484" w:type="pct"/>
          </w:tcPr>
          <w:p w:rsidR="00C50116" w:rsidRPr="00CF4C4E" w:rsidRDefault="0055614B" w:rsidP="00CF4C4E">
            <w:pPr>
              <w:rPr>
                <w:sz w:val="20"/>
                <w:szCs w:val="20"/>
                <w:lang w:val="en-GB"/>
              </w:rPr>
            </w:pPr>
            <w:r w:rsidRPr="00CF4C4E">
              <w:rPr>
                <w:sz w:val="20"/>
                <w:szCs w:val="20"/>
                <w:lang w:val="en-GB"/>
              </w:rPr>
              <w:t>POOC, HPPOs of Kraljevo, Belgrade, Nis, Novi Sad; SCC; AC</w:t>
            </w:r>
            <w:r w:rsidRPr="00CF4C4E">
              <w:rPr>
                <w:color w:val="FF0000"/>
                <w:sz w:val="20"/>
                <w:szCs w:val="20"/>
                <w:lang w:val="en-GB"/>
              </w:rPr>
              <w:t xml:space="preserve"> </w:t>
            </w:r>
          </w:p>
        </w:tc>
        <w:tc>
          <w:tcPr>
            <w:tcW w:w="376" w:type="pct"/>
          </w:tcPr>
          <w:p w:rsidR="00C50116" w:rsidRPr="00CF4C4E" w:rsidRDefault="008C09AC" w:rsidP="00CF4C4E">
            <w:pPr>
              <w:rPr>
                <w:sz w:val="20"/>
                <w:szCs w:val="20"/>
                <w:lang w:val="en-GB"/>
              </w:rPr>
            </w:pPr>
            <w:r w:rsidRPr="00CF4C4E">
              <w:rPr>
                <w:sz w:val="20"/>
                <w:szCs w:val="20"/>
                <w:lang w:val="en-GB"/>
              </w:rPr>
              <w:t>IV quarter of 2022</w:t>
            </w:r>
          </w:p>
        </w:tc>
        <w:tc>
          <w:tcPr>
            <w:tcW w:w="538" w:type="pct"/>
          </w:tcPr>
          <w:p w:rsidR="00DD68A6" w:rsidRPr="00CF4C4E" w:rsidRDefault="00DD68A6" w:rsidP="00CF4C4E">
            <w:pPr>
              <w:rPr>
                <w:sz w:val="20"/>
                <w:szCs w:val="20"/>
                <w:lang w:val="en-GB"/>
              </w:rPr>
            </w:pPr>
            <w:r w:rsidRPr="00CF4C4E">
              <w:rPr>
                <w:sz w:val="20"/>
                <w:szCs w:val="20"/>
                <w:lang w:val="en-GB"/>
              </w:rPr>
              <w:t>Financed as part of regular activities of staff</w:t>
            </w:r>
          </w:p>
          <w:p w:rsidR="00C50116" w:rsidRPr="00CF4C4E" w:rsidRDefault="00C50116" w:rsidP="00CF4C4E">
            <w:pPr>
              <w:rPr>
                <w:sz w:val="20"/>
                <w:szCs w:val="20"/>
                <w:lang w:val="en-GB"/>
              </w:rPr>
            </w:pPr>
          </w:p>
        </w:tc>
        <w:tc>
          <w:tcPr>
            <w:tcW w:w="376" w:type="pct"/>
          </w:tcPr>
          <w:p w:rsidR="00C50116" w:rsidRPr="00CF4C4E" w:rsidRDefault="00C50116" w:rsidP="00CF4C4E">
            <w:pPr>
              <w:rPr>
                <w:sz w:val="20"/>
                <w:szCs w:val="20"/>
                <w:lang w:val="en-GB"/>
              </w:rPr>
            </w:pPr>
          </w:p>
        </w:tc>
        <w:tc>
          <w:tcPr>
            <w:tcW w:w="708" w:type="pct"/>
          </w:tcPr>
          <w:p w:rsidR="00C50116" w:rsidRPr="00CF4C4E" w:rsidRDefault="00C50116" w:rsidP="00CF4C4E">
            <w:pPr>
              <w:rPr>
                <w:sz w:val="20"/>
                <w:szCs w:val="20"/>
                <w:lang w:val="en-GB"/>
              </w:rPr>
            </w:pPr>
          </w:p>
        </w:tc>
        <w:tc>
          <w:tcPr>
            <w:tcW w:w="538" w:type="pct"/>
          </w:tcPr>
          <w:p w:rsidR="00C50116" w:rsidRPr="00CF4C4E" w:rsidRDefault="00C50116" w:rsidP="00CF4C4E">
            <w:pPr>
              <w:rPr>
                <w:sz w:val="20"/>
                <w:szCs w:val="20"/>
                <w:lang w:val="en-GB"/>
              </w:rPr>
            </w:pPr>
          </w:p>
        </w:tc>
        <w:tc>
          <w:tcPr>
            <w:tcW w:w="699" w:type="pct"/>
          </w:tcPr>
          <w:p w:rsidR="00C50116" w:rsidRPr="00CF4C4E" w:rsidRDefault="00C50116" w:rsidP="00CF4C4E">
            <w:pPr>
              <w:rPr>
                <w:sz w:val="20"/>
                <w:szCs w:val="20"/>
                <w:lang w:val="en-GB"/>
              </w:rPr>
            </w:pPr>
          </w:p>
        </w:tc>
      </w:tr>
      <w:tr w:rsidR="00C50116" w:rsidRPr="00CF4C4E" w:rsidTr="00FB1798">
        <w:trPr>
          <w:trHeight w:val="140"/>
        </w:trPr>
        <w:tc>
          <w:tcPr>
            <w:tcW w:w="902" w:type="pct"/>
            <w:tcBorders>
              <w:left w:val="double" w:sz="4" w:space="0" w:color="auto"/>
            </w:tcBorders>
          </w:tcPr>
          <w:p w:rsidR="00C50116" w:rsidRPr="00CF4C4E" w:rsidRDefault="00C50116" w:rsidP="00CF4C4E">
            <w:pPr>
              <w:rPr>
                <w:color w:val="FF0000"/>
                <w:sz w:val="20"/>
                <w:szCs w:val="20"/>
                <w:lang w:val="en-GB"/>
              </w:rPr>
            </w:pPr>
            <w:r w:rsidRPr="00CF4C4E">
              <w:rPr>
                <w:sz w:val="20"/>
                <w:szCs w:val="20"/>
                <w:lang w:val="en-GB"/>
              </w:rPr>
              <w:t xml:space="preserve">3.1.4.  </w:t>
            </w:r>
            <w:r w:rsidRPr="00CF4C4E">
              <w:rPr>
                <w:color w:val="auto"/>
                <w:sz w:val="20"/>
                <w:szCs w:val="20"/>
                <w:lang w:val="en-GB"/>
              </w:rPr>
              <w:t xml:space="preserve">Establishment of permanent task forces to prosecute stand-alone money laundering and third-party money laundering in four special departments of higher public prosecutors’ offices of Belgrade, Kraljevo, Nis and Novi Sad; and in the Prosecutor’s Office for Organised Crime for professional money </w:t>
            </w:r>
            <w:r w:rsidRPr="00CF4C4E">
              <w:rPr>
                <w:color w:val="auto"/>
                <w:sz w:val="20"/>
                <w:szCs w:val="20"/>
                <w:lang w:val="en-GB"/>
              </w:rPr>
              <w:lastRenderedPageBreak/>
              <w:t>laundering.</w:t>
            </w:r>
          </w:p>
        </w:tc>
        <w:tc>
          <w:tcPr>
            <w:tcW w:w="379" w:type="pct"/>
          </w:tcPr>
          <w:p w:rsidR="00C50116" w:rsidRPr="00CF4C4E" w:rsidRDefault="00C50116" w:rsidP="00CF4C4E">
            <w:pPr>
              <w:rPr>
                <w:sz w:val="20"/>
                <w:szCs w:val="20"/>
                <w:lang w:val="en-GB"/>
              </w:rPr>
            </w:pPr>
            <w:r w:rsidRPr="00CF4C4E">
              <w:rPr>
                <w:sz w:val="20"/>
                <w:szCs w:val="20"/>
                <w:lang w:val="en-GB"/>
              </w:rPr>
              <w:lastRenderedPageBreak/>
              <w:t>POOC</w:t>
            </w:r>
          </w:p>
        </w:tc>
        <w:tc>
          <w:tcPr>
            <w:tcW w:w="484" w:type="pct"/>
          </w:tcPr>
          <w:p w:rsidR="00C50116" w:rsidRPr="00CF4C4E" w:rsidRDefault="00BE642B" w:rsidP="00CF4C4E">
            <w:pPr>
              <w:rPr>
                <w:sz w:val="20"/>
                <w:szCs w:val="20"/>
                <w:lang w:val="en-GB"/>
              </w:rPr>
            </w:pPr>
            <w:r w:rsidRPr="00CF4C4E">
              <w:rPr>
                <w:sz w:val="20"/>
                <w:szCs w:val="20"/>
                <w:lang w:val="en-GB"/>
              </w:rPr>
              <w:t xml:space="preserve">HPPOs of Kraljevo, Belgrade, Nis, Novi Sad; MoF-TA-TPol, MoF-CA, NBS, APML, SBRA, CSD, SAI, RGA, ACAS, NPDIF, </w:t>
            </w:r>
            <w:r w:rsidRPr="00CF4C4E">
              <w:rPr>
                <w:sz w:val="20"/>
                <w:szCs w:val="20"/>
                <w:lang w:val="en-GB"/>
              </w:rPr>
              <w:lastRenderedPageBreak/>
              <w:t>NHIF, RSPD and PPARHIF</w:t>
            </w:r>
          </w:p>
        </w:tc>
        <w:tc>
          <w:tcPr>
            <w:tcW w:w="376" w:type="pct"/>
          </w:tcPr>
          <w:p w:rsidR="00C50116" w:rsidRPr="00CF4C4E" w:rsidRDefault="00BE642B" w:rsidP="00CF4C4E">
            <w:pPr>
              <w:rPr>
                <w:sz w:val="20"/>
                <w:szCs w:val="20"/>
                <w:lang w:val="en-GB"/>
              </w:rPr>
            </w:pPr>
            <w:r w:rsidRPr="00CF4C4E">
              <w:rPr>
                <w:sz w:val="20"/>
                <w:szCs w:val="20"/>
                <w:lang w:val="en-GB"/>
              </w:rPr>
              <w:lastRenderedPageBreak/>
              <w:t>IV quarter of 2020</w:t>
            </w:r>
          </w:p>
        </w:tc>
        <w:tc>
          <w:tcPr>
            <w:tcW w:w="538" w:type="pct"/>
          </w:tcPr>
          <w:p w:rsidR="00DD68A6" w:rsidRPr="00CF4C4E" w:rsidRDefault="00DD68A6" w:rsidP="00CF4C4E">
            <w:pPr>
              <w:rPr>
                <w:sz w:val="20"/>
                <w:szCs w:val="20"/>
                <w:lang w:val="en-GB"/>
              </w:rPr>
            </w:pPr>
            <w:r w:rsidRPr="00CF4C4E">
              <w:rPr>
                <w:sz w:val="20"/>
                <w:szCs w:val="20"/>
                <w:lang w:val="en-GB"/>
              </w:rPr>
              <w:t>Financed as part of regular activities of staff</w:t>
            </w:r>
          </w:p>
          <w:p w:rsidR="00C50116" w:rsidRPr="00CF4C4E" w:rsidRDefault="00C50116" w:rsidP="00CF4C4E">
            <w:pPr>
              <w:rPr>
                <w:sz w:val="20"/>
                <w:szCs w:val="20"/>
                <w:lang w:val="en-GB"/>
              </w:rPr>
            </w:pPr>
          </w:p>
        </w:tc>
        <w:tc>
          <w:tcPr>
            <w:tcW w:w="376" w:type="pct"/>
          </w:tcPr>
          <w:p w:rsidR="00C50116" w:rsidRPr="00CF4C4E" w:rsidRDefault="00C50116" w:rsidP="00CF4C4E">
            <w:pPr>
              <w:rPr>
                <w:sz w:val="20"/>
                <w:szCs w:val="20"/>
                <w:lang w:val="en-GB"/>
              </w:rPr>
            </w:pPr>
          </w:p>
        </w:tc>
        <w:tc>
          <w:tcPr>
            <w:tcW w:w="708" w:type="pct"/>
          </w:tcPr>
          <w:p w:rsidR="00C50116" w:rsidRPr="00CF4C4E" w:rsidRDefault="00C50116" w:rsidP="00CF4C4E">
            <w:pPr>
              <w:rPr>
                <w:sz w:val="20"/>
                <w:szCs w:val="20"/>
                <w:lang w:val="en-GB"/>
              </w:rPr>
            </w:pPr>
          </w:p>
        </w:tc>
        <w:tc>
          <w:tcPr>
            <w:tcW w:w="538" w:type="pct"/>
          </w:tcPr>
          <w:p w:rsidR="00C50116" w:rsidRPr="00CF4C4E" w:rsidRDefault="00C50116" w:rsidP="00CF4C4E">
            <w:pPr>
              <w:rPr>
                <w:sz w:val="20"/>
                <w:szCs w:val="20"/>
                <w:lang w:val="en-GB"/>
              </w:rPr>
            </w:pPr>
          </w:p>
        </w:tc>
        <w:tc>
          <w:tcPr>
            <w:tcW w:w="699" w:type="pct"/>
          </w:tcPr>
          <w:p w:rsidR="00C50116" w:rsidRPr="00CF4C4E" w:rsidRDefault="00C50116" w:rsidP="00CF4C4E">
            <w:pPr>
              <w:rPr>
                <w:sz w:val="20"/>
                <w:szCs w:val="20"/>
                <w:lang w:val="en-GB"/>
              </w:rPr>
            </w:pPr>
          </w:p>
        </w:tc>
      </w:tr>
      <w:tr w:rsidR="00C50116" w:rsidRPr="00CF4C4E" w:rsidTr="00FB1798">
        <w:trPr>
          <w:trHeight w:val="140"/>
        </w:trPr>
        <w:tc>
          <w:tcPr>
            <w:tcW w:w="902" w:type="pct"/>
            <w:tcBorders>
              <w:left w:val="double" w:sz="4" w:space="0" w:color="auto"/>
            </w:tcBorders>
          </w:tcPr>
          <w:p w:rsidR="00C50116" w:rsidRPr="00CF4C4E" w:rsidRDefault="00C50116" w:rsidP="00CF4C4E">
            <w:pPr>
              <w:rPr>
                <w:sz w:val="20"/>
                <w:szCs w:val="20"/>
                <w:lang w:val="en-GB"/>
              </w:rPr>
            </w:pPr>
            <w:r w:rsidRPr="00CF4C4E">
              <w:rPr>
                <w:sz w:val="20"/>
                <w:szCs w:val="20"/>
                <w:lang w:val="en-GB"/>
              </w:rPr>
              <w:lastRenderedPageBreak/>
              <w:t>3.1.5.  Hold periodic meetings to coordinate and prioritise activities of supervisors and competent police units nad public prosecutors’ offices in responsible for prosecuting the ML criminal offences</w:t>
            </w:r>
          </w:p>
        </w:tc>
        <w:tc>
          <w:tcPr>
            <w:tcW w:w="379" w:type="pct"/>
          </w:tcPr>
          <w:p w:rsidR="00C50116" w:rsidRPr="00CF4C4E" w:rsidRDefault="00C50116" w:rsidP="00CF4C4E">
            <w:pPr>
              <w:rPr>
                <w:sz w:val="20"/>
                <w:szCs w:val="20"/>
                <w:lang w:val="en-GB"/>
              </w:rPr>
            </w:pPr>
            <w:r w:rsidRPr="00CF4C4E">
              <w:rPr>
                <w:sz w:val="20"/>
                <w:szCs w:val="20"/>
                <w:lang w:val="en-GB"/>
              </w:rPr>
              <w:t>RPPO</w:t>
            </w:r>
          </w:p>
        </w:tc>
        <w:tc>
          <w:tcPr>
            <w:tcW w:w="484" w:type="pct"/>
          </w:tcPr>
          <w:p w:rsidR="00C50116" w:rsidRPr="00CF4C4E" w:rsidRDefault="00BE642B" w:rsidP="00CF4C4E">
            <w:pPr>
              <w:rPr>
                <w:sz w:val="20"/>
                <w:szCs w:val="20"/>
                <w:lang w:val="en-GB"/>
              </w:rPr>
            </w:pPr>
            <w:r w:rsidRPr="00CF4C4E">
              <w:rPr>
                <w:sz w:val="20"/>
                <w:szCs w:val="20"/>
                <w:lang w:val="en-GB"/>
              </w:rPr>
              <w:t>POOC; HPPOs of Kraljevo, Belgrade, Nis, Novi Sad; MoI and supervisors</w:t>
            </w:r>
          </w:p>
        </w:tc>
        <w:tc>
          <w:tcPr>
            <w:tcW w:w="376" w:type="pct"/>
          </w:tcPr>
          <w:p w:rsidR="00C50116" w:rsidRPr="00CF4C4E" w:rsidRDefault="00BE642B" w:rsidP="00CF4C4E">
            <w:pPr>
              <w:rPr>
                <w:sz w:val="20"/>
                <w:szCs w:val="20"/>
                <w:lang w:val="en-GB"/>
              </w:rPr>
            </w:pPr>
            <w:r w:rsidRPr="00CF4C4E">
              <w:rPr>
                <w:sz w:val="20"/>
                <w:szCs w:val="20"/>
                <w:lang w:val="en-GB"/>
              </w:rPr>
              <w:t>IV quarter of 2021</w:t>
            </w:r>
          </w:p>
        </w:tc>
        <w:tc>
          <w:tcPr>
            <w:tcW w:w="538" w:type="pct"/>
          </w:tcPr>
          <w:p w:rsidR="00DD68A6" w:rsidRPr="00CF4C4E" w:rsidRDefault="00DD68A6" w:rsidP="00CF4C4E">
            <w:pPr>
              <w:rPr>
                <w:sz w:val="20"/>
                <w:szCs w:val="20"/>
                <w:lang w:val="en-GB"/>
              </w:rPr>
            </w:pPr>
            <w:r w:rsidRPr="00CF4C4E">
              <w:rPr>
                <w:sz w:val="20"/>
                <w:szCs w:val="20"/>
                <w:lang w:val="en-GB"/>
              </w:rPr>
              <w:t>Financed as part of regular activities of staff</w:t>
            </w:r>
          </w:p>
          <w:p w:rsidR="00C50116" w:rsidRPr="00CF4C4E" w:rsidRDefault="00C50116" w:rsidP="00CF4C4E">
            <w:pPr>
              <w:rPr>
                <w:sz w:val="20"/>
                <w:szCs w:val="20"/>
                <w:lang w:val="en-GB"/>
              </w:rPr>
            </w:pPr>
          </w:p>
        </w:tc>
        <w:tc>
          <w:tcPr>
            <w:tcW w:w="376" w:type="pct"/>
          </w:tcPr>
          <w:p w:rsidR="00C50116" w:rsidRPr="00CF4C4E" w:rsidRDefault="00C50116" w:rsidP="00CF4C4E">
            <w:pPr>
              <w:rPr>
                <w:sz w:val="20"/>
                <w:szCs w:val="20"/>
                <w:lang w:val="en-GB"/>
              </w:rPr>
            </w:pPr>
          </w:p>
        </w:tc>
        <w:tc>
          <w:tcPr>
            <w:tcW w:w="708" w:type="pct"/>
          </w:tcPr>
          <w:p w:rsidR="00C50116" w:rsidRPr="00CF4C4E" w:rsidRDefault="00C50116" w:rsidP="00CF4C4E">
            <w:pPr>
              <w:rPr>
                <w:sz w:val="20"/>
                <w:szCs w:val="20"/>
                <w:lang w:val="en-GB"/>
              </w:rPr>
            </w:pPr>
          </w:p>
        </w:tc>
        <w:tc>
          <w:tcPr>
            <w:tcW w:w="538" w:type="pct"/>
          </w:tcPr>
          <w:p w:rsidR="00C50116" w:rsidRPr="00CF4C4E" w:rsidRDefault="00C50116" w:rsidP="00CF4C4E">
            <w:pPr>
              <w:rPr>
                <w:sz w:val="20"/>
                <w:szCs w:val="20"/>
                <w:lang w:val="en-GB"/>
              </w:rPr>
            </w:pPr>
          </w:p>
        </w:tc>
        <w:tc>
          <w:tcPr>
            <w:tcW w:w="699" w:type="pct"/>
          </w:tcPr>
          <w:p w:rsidR="00C50116" w:rsidRPr="00CF4C4E" w:rsidRDefault="00C50116" w:rsidP="00CF4C4E">
            <w:pPr>
              <w:rPr>
                <w:sz w:val="20"/>
                <w:szCs w:val="20"/>
                <w:lang w:val="en-GB"/>
              </w:rPr>
            </w:pPr>
          </w:p>
        </w:tc>
      </w:tr>
      <w:tr w:rsidR="00C50116" w:rsidRPr="00CF4C4E" w:rsidTr="005768D4">
        <w:trPr>
          <w:trHeight w:val="386"/>
        </w:trPr>
        <w:tc>
          <w:tcPr>
            <w:tcW w:w="902" w:type="pct"/>
            <w:tcBorders>
              <w:top w:val="double" w:sz="4" w:space="0" w:color="auto"/>
              <w:left w:val="double" w:sz="4" w:space="0" w:color="auto"/>
              <w:bottom w:val="double" w:sz="4" w:space="0" w:color="auto"/>
              <w:right w:val="single" w:sz="4" w:space="0" w:color="auto"/>
            </w:tcBorders>
          </w:tcPr>
          <w:p w:rsidR="00DA0EC2" w:rsidRPr="00CF4C4E" w:rsidRDefault="00BE642B" w:rsidP="00CF4C4E">
            <w:pPr>
              <w:rPr>
                <w:sz w:val="20"/>
                <w:szCs w:val="20"/>
                <w:lang w:val="en-GB"/>
              </w:rPr>
            </w:pPr>
            <w:r w:rsidRPr="00CF4C4E">
              <w:rPr>
                <w:sz w:val="20"/>
                <w:szCs w:val="20"/>
                <w:lang w:val="en-GB"/>
              </w:rPr>
              <w:t xml:space="preserve">3.1.6.  Continuous workshops to improve public prosecutors’ skills for a proactive approach in starting parallel financial investigations and criminal investigations in money laundering proceedings (esp. stand-alone and third-party money laundering). </w:t>
            </w:r>
          </w:p>
        </w:tc>
        <w:tc>
          <w:tcPr>
            <w:tcW w:w="379" w:type="pct"/>
            <w:tcBorders>
              <w:top w:val="double" w:sz="4" w:space="0" w:color="auto"/>
              <w:left w:val="single" w:sz="4" w:space="0" w:color="auto"/>
              <w:bottom w:val="double" w:sz="4" w:space="0" w:color="auto"/>
              <w:right w:val="single" w:sz="4" w:space="0" w:color="auto"/>
            </w:tcBorders>
          </w:tcPr>
          <w:p w:rsidR="005768D4" w:rsidRPr="00CF4C4E" w:rsidRDefault="005768D4" w:rsidP="00CF4C4E">
            <w:pPr>
              <w:rPr>
                <w:sz w:val="20"/>
                <w:szCs w:val="20"/>
                <w:lang w:val="en-GB"/>
              </w:rPr>
            </w:pPr>
          </w:p>
          <w:p w:rsidR="001B4CBD" w:rsidRPr="00CF4C4E" w:rsidRDefault="005768D4" w:rsidP="00CF4C4E">
            <w:pPr>
              <w:rPr>
                <w:sz w:val="20"/>
                <w:szCs w:val="20"/>
                <w:lang w:val="en-GB"/>
              </w:rPr>
            </w:pPr>
            <w:r w:rsidRPr="00CF4C4E">
              <w:rPr>
                <w:sz w:val="20"/>
                <w:szCs w:val="20"/>
                <w:lang w:val="en-GB"/>
              </w:rPr>
              <w:t>JA</w:t>
            </w:r>
          </w:p>
        </w:tc>
        <w:tc>
          <w:tcPr>
            <w:tcW w:w="484" w:type="pct"/>
            <w:tcBorders>
              <w:top w:val="double" w:sz="4" w:space="0" w:color="auto"/>
              <w:left w:val="single" w:sz="4" w:space="0" w:color="auto"/>
              <w:bottom w:val="double" w:sz="4" w:space="0" w:color="auto"/>
              <w:right w:val="single" w:sz="4" w:space="0" w:color="auto"/>
            </w:tcBorders>
          </w:tcPr>
          <w:p w:rsidR="001B4CBD" w:rsidRPr="00CF4C4E" w:rsidRDefault="00BE642B" w:rsidP="00CF4C4E">
            <w:pPr>
              <w:rPr>
                <w:sz w:val="20"/>
                <w:szCs w:val="20"/>
                <w:lang w:val="en-GB"/>
              </w:rPr>
            </w:pPr>
            <w:r w:rsidRPr="00CF4C4E">
              <w:rPr>
                <w:sz w:val="20"/>
                <w:szCs w:val="20"/>
                <w:lang w:val="en-GB"/>
              </w:rPr>
              <w:t>RPPO; SCC; MoI</w:t>
            </w:r>
          </w:p>
        </w:tc>
        <w:tc>
          <w:tcPr>
            <w:tcW w:w="376" w:type="pct"/>
            <w:tcBorders>
              <w:top w:val="double" w:sz="4" w:space="0" w:color="auto"/>
              <w:left w:val="single" w:sz="4" w:space="0" w:color="auto"/>
              <w:bottom w:val="double" w:sz="4" w:space="0" w:color="auto"/>
              <w:right w:val="single" w:sz="4" w:space="0" w:color="auto"/>
            </w:tcBorders>
          </w:tcPr>
          <w:p w:rsidR="001B4CBD" w:rsidRPr="00CF4C4E" w:rsidRDefault="00BE642B" w:rsidP="00CF4C4E">
            <w:pPr>
              <w:rPr>
                <w:sz w:val="20"/>
                <w:szCs w:val="20"/>
                <w:lang w:val="en-GB"/>
              </w:rPr>
            </w:pPr>
            <w:r w:rsidRPr="00CF4C4E">
              <w:rPr>
                <w:sz w:val="20"/>
                <w:szCs w:val="20"/>
                <w:lang w:val="en-GB"/>
              </w:rPr>
              <w:t>II quarter of 2020 - IV quarter 2021</w:t>
            </w:r>
          </w:p>
        </w:tc>
        <w:tc>
          <w:tcPr>
            <w:tcW w:w="538" w:type="pct"/>
            <w:tcBorders>
              <w:top w:val="double" w:sz="4" w:space="0" w:color="auto"/>
              <w:left w:val="single" w:sz="4" w:space="0" w:color="auto"/>
              <w:bottom w:val="double" w:sz="4" w:space="0" w:color="auto"/>
              <w:right w:val="single" w:sz="4" w:space="0" w:color="auto"/>
            </w:tcBorders>
          </w:tcPr>
          <w:p w:rsidR="00DD68A6" w:rsidRPr="00CF4C4E" w:rsidRDefault="00A927A4" w:rsidP="00CF4C4E">
            <w:pPr>
              <w:pStyle w:val="basic-paragraph"/>
              <w:spacing w:before="0" w:beforeAutospacing="0" w:after="0" w:afterAutospacing="0"/>
              <w:rPr>
                <w:rFonts w:eastAsiaTheme="minorHAnsi"/>
                <w:color w:val="000000"/>
                <w:kern w:val="28"/>
                <w:sz w:val="20"/>
                <w:szCs w:val="20"/>
                <w:lang w:val="en-GB"/>
              </w:rPr>
            </w:pPr>
            <w:r w:rsidRPr="00CF4C4E">
              <w:rPr>
                <w:color w:val="000000"/>
                <w:kern w:val="28"/>
                <w:sz w:val="20"/>
                <w:szCs w:val="20"/>
                <w:lang w:val="en-GB"/>
              </w:rPr>
              <w:t>International donor funds</w:t>
            </w:r>
          </w:p>
          <w:p w:rsidR="001B4CBD" w:rsidRPr="00CF4C4E" w:rsidRDefault="001B4CBD" w:rsidP="00CF4C4E">
            <w:pPr>
              <w:rPr>
                <w:sz w:val="20"/>
                <w:szCs w:val="20"/>
                <w:lang w:val="en-GB"/>
              </w:rPr>
            </w:pPr>
          </w:p>
        </w:tc>
        <w:tc>
          <w:tcPr>
            <w:tcW w:w="376" w:type="pct"/>
            <w:tcBorders>
              <w:top w:val="double" w:sz="4" w:space="0" w:color="auto"/>
              <w:left w:val="single" w:sz="4" w:space="0" w:color="auto"/>
              <w:bottom w:val="double" w:sz="4" w:space="0" w:color="auto"/>
              <w:right w:val="single" w:sz="4" w:space="0" w:color="auto"/>
            </w:tcBorders>
            <w:shd w:val="clear" w:color="auto" w:fill="auto"/>
          </w:tcPr>
          <w:p w:rsidR="001B4CBD" w:rsidRPr="00CF4C4E" w:rsidRDefault="001B4CBD" w:rsidP="00CF4C4E">
            <w:pPr>
              <w:rPr>
                <w:sz w:val="20"/>
                <w:szCs w:val="20"/>
                <w:lang w:val="en-GB"/>
              </w:rPr>
            </w:pP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1B4CBD" w:rsidRPr="00CF4C4E" w:rsidRDefault="001B4CBD" w:rsidP="00CF4C4E">
            <w:pPr>
              <w:jc w:val="center"/>
              <w:rPr>
                <w:sz w:val="20"/>
                <w:szCs w:val="20"/>
                <w:lang w:val="en-GB"/>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1B4CBD" w:rsidRPr="00CF4C4E" w:rsidRDefault="001B4CBD" w:rsidP="00CF4C4E">
            <w:pPr>
              <w:jc w:val="center"/>
              <w:rPr>
                <w:sz w:val="20"/>
                <w:szCs w:val="20"/>
                <w:lang w:val="en-GB"/>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1B4CBD" w:rsidRPr="00CF4C4E" w:rsidRDefault="001B4CBD" w:rsidP="00CF4C4E">
            <w:pPr>
              <w:jc w:val="center"/>
              <w:rPr>
                <w:sz w:val="20"/>
                <w:szCs w:val="20"/>
                <w:lang w:val="en-GB"/>
              </w:rPr>
            </w:pPr>
          </w:p>
        </w:tc>
      </w:tr>
      <w:tr w:rsidR="00DD68A6" w:rsidRPr="00CF4C4E" w:rsidTr="005768D4">
        <w:trPr>
          <w:trHeight w:val="386"/>
        </w:trPr>
        <w:tc>
          <w:tcPr>
            <w:tcW w:w="902" w:type="pct"/>
            <w:tcBorders>
              <w:top w:val="double" w:sz="4" w:space="0" w:color="auto"/>
              <w:left w:val="double" w:sz="4" w:space="0" w:color="auto"/>
              <w:bottom w:val="double" w:sz="4" w:space="0" w:color="auto"/>
              <w:right w:val="single" w:sz="4" w:space="0" w:color="auto"/>
            </w:tcBorders>
          </w:tcPr>
          <w:p w:rsidR="00DD68A6" w:rsidRPr="00CF4C4E" w:rsidRDefault="00DD68A6" w:rsidP="00CF4C4E">
            <w:pPr>
              <w:rPr>
                <w:sz w:val="20"/>
                <w:szCs w:val="20"/>
                <w:lang w:val="en-GB"/>
              </w:rPr>
            </w:pPr>
            <w:r w:rsidRPr="00CF4C4E">
              <w:rPr>
                <w:sz w:val="20"/>
                <w:szCs w:val="20"/>
                <w:lang w:val="en-GB"/>
              </w:rPr>
              <w:t>3.1.7 Continuous delivery of advanced training and workshops on financial investigations, use of financial intelligence, analysis of financial flows and criminal organisation financial flow modeling, analysis of net value of assets, proving of the money laundering intention, stand-alone ML investigations</w:t>
            </w:r>
          </w:p>
        </w:tc>
        <w:tc>
          <w:tcPr>
            <w:tcW w:w="379" w:type="pct"/>
            <w:tcBorders>
              <w:top w:val="double" w:sz="4" w:space="0" w:color="auto"/>
              <w:left w:val="single" w:sz="4" w:space="0" w:color="auto"/>
              <w:bottom w:val="double" w:sz="4" w:space="0" w:color="auto"/>
              <w:right w:val="single" w:sz="4" w:space="0" w:color="auto"/>
            </w:tcBorders>
          </w:tcPr>
          <w:p w:rsidR="005768D4" w:rsidRPr="00CF4C4E" w:rsidRDefault="005768D4" w:rsidP="00CF4C4E">
            <w:pPr>
              <w:rPr>
                <w:sz w:val="20"/>
                <w:szCs w:val="20"/>
                <w:lang w:val="en-GB"/>
              </w:rPr>
            </w:pPr>
          </w:p>
          <w:p w:rsidR="00DD68A6" w:rsidRPr="00CF4C4E" w:rsidRDefault="005768D4" w:rsidP="00CF4C4E">
            <w:pPr>
              <w:rPr>
                <w:sz w:val="20"/>
                <w:szCs w:val="20"/>
                <w:lang w:val="en-GB"/>
              </w:rPr>
            </w:pPr>
            <w:r w:rsidRPr="00CF4C4E">
              <w:rPr>
                <w:sz w:val="20"/>
                <w:szCs w:val="20"/>
                <w:lang w:val="en-GB"/>
              </w:rPr>
              <w:t>JA</w:t>
            </w:r>
          </w:p>
          <w:p w:rsidR="005768D4" w:rsidRPr="00CF4C4E" w:rsidRDefault="005768D4" w:rsidP="00CF4C4E">
            <w:pPr>
              <w:rPr>
                <w:sz w:val="20"/>
                <w:szCs w:val="20"/>
                <w:lang w:val="en-GB"/>
              </w:rPr>
            </w:pPr>
          </w:p>
          <w:p w:rsidR="005768D4" w:rsidRPr="00CF4C4E" w:rsidRDefault="005768D4" w:rsidP="00CF4C4E">
            <w:pPr>
              <w:rPr>
                <w:sz w:val="20"/>
                <w:szCs w:val="20"/>
                <w:lang w:val="en-GB"/>
              </w:rPr>
            </w:pPr>
          </w:p>
        </w:tc>
        <w:tc>
          <w:tcPr>
            <w:tcW w:w="484" w:type="pct"/>
            <w:tcBorders>
              <w:top w:val="double" w:sz="4" w:space="0" w:color="auto"/>
              <w:left w:val="single" w:sz="4" w:space="0" w:color="auto"/>
              <w:bottom w:val="double" w:sz="4" w:space="0" w:color="auto"/>
              <w:right w:val="single" w:sz="4" w:space="0" w:color="auto"/>
            </w:tcBorders>
          </w:tcPr>
          <w:p w:rsidR="005768D4" w:rsidRPr="00CF4C4E" w:rsidRDefault="005768D4" w:rsidP="00CF4C4E">
            <w:pPr>
              <w:rPr>
                <w:sz w:val="20"/>
                <w:szCs w:val="20"/>
                <w:lang w:val="en-GB"/>
              </w:rPr>
            </w:pPr>
          </w:p>
          <w:p w:rsidR="00DD68A6" w:rsidRPr="00CF4C4E" w:rsidRDefault="00DD68A6" w:rsidP="00CF4C4E">
            <w:pPr>
              <w:rPr>
                <w:sz w:val="20"/>
                <w:szCs w:val="20"/>
                <w:lang w:val="en-GB"/>
              </w:rPr>
            </w:pPr>
            <w:r w:rsidRPr="00CF4C4E">
              <w:rPr>
                <w:sz w:val="20"/>
                <w:szCs w:val="20"/>
                <w:lang w:val="en-GB"/>
              </w:rPr>
              <w:t>RPPO; SCC; MoI</w:t>
            </w:r>
          </w:p>
        </w:tc>
        <w:tc>
          <w:tcPr>
            <w:tcW w:w="376" w:type="pct"/>
            <w:tcBorders>
              <w:top w:val="double" w:sz="4" w:space="0" w:color="auto"/>
              <w:left w:val="single" w:sz="4" w:space="0" w:color="auto"/>
              <w:bottom w:val="double" w:sz="4" w:space="0" w:color="auto"/>
              <w:right w:val="single" w:sz="4" w:space="0" w:color="auto"/>
            </w:tcBorders>
          </w:tcPr>
          <w:p w:rsidR="00DD68A6" w:rsidRPr="00CF4C4E" w:rsidRDefault="00DD68A6" w:rsidP="00CF4C4E">
            <w:pPr>
              <w:rPr>
                <w:sz w:val="20"/>
                <w:szCs w:val="20"/>
                <w:lang w:val="en-GB"/>
              </w:rPr>
            </w:pPr>
            <w:r w:rsidRPr="00CF4C4E">
              <w:rPr>
                <w:sz w:val="20"/>
                <w:szCs w:val="20"/>
                <w:lang w:val="en-GB"/>
              </w:rPr>
              <w:t>IV quarter of 2022</w:t>
            </w:r>
          </w:p>
        </w:tc>
        <w:tc>
          <w:tcPr>
            <w:tcW w:w="538" w:type="pct"/>
            <w:tcBorders>
              <w:top w:val="double" w:sz="4" w:space="0" w:color="auto"/>
              <w:left w:val="single" w:sz="4" w:space="0" w:color="auto"/>
              <w:bottom w:val="double" w:sz="4" w:space="0" w:color="auto"/>
              <w:right w:val="single" w:sz="4" w:space="0" w:color="auto"/>
            </w:tcBorders>
          </w:tcPr>
          <w:p w:rsidR="00A927A4" w:rsidRPr="00CF4C4E" w:rsidRDefault="00A927A4" w:rsidP="00CF4C4E">
            <w:pPr>
              <w:pStyle w:val="basic-paragraph"/>
              <w:spacing w:before="0" w:beforeAutospacing="0" w:after="0" w:afterAutospacing="0"/>
              <w:rPr>
                <w:sz w:val="20"/>
                <w:szCs w:val="20"/>
                <w:lang w:val="en-GB"/>
              </w:rPr>
            </w:pPr>
            <w:r w:rsidRPr="00CF4C4E">
              <w:rPr>
                <w:sz w:val="20"/>
                <w:szCs w:val="20"/>
                <w:lang w:val="en-GB"/>
              </w:rPr>
              <w:t>International donor funds</w:t>
            </w:r>
          </w:p>
          <w:p w:rsidR="00DD68A6" w:rsidRPr="00CF4C4E" w:rsidRDefault="00DD68A6" w:rsidP="00CF4C4E">
            <w:pPr>
              <w:rPr>
                <w:sz w:val="20"/>
                <w:szCs w:val="20"/>
                <w:lang w:val="en-GB"/>
              </w:rPr>
            </w:pPr>
          </w:p>
        </w:tc>
        <w:tc>
          <w:tcPr>
            <w:tcW w:w="376" w:type="pct"/>
            <w:tcBorders>
              <w:top w:val="double" w:sz="4" w:space="0" w:color="auto"/>
              <w:left w:val="single" w:sz="4" w:space="0" w:color="auto"/>
              <w:bottom w:val="double" w:sz="4" w:space="0" w:color="auto"/>
              <w:right w:val="single" w:sz="4" w:space="0" w:color="auto"/>
            </w:tcBorders>
            <w:shd w:val="clear" w:color="auto" w:fill="auto"/>
          </w:tcPr>
          <w:p w:rsidR="00DD68A6" w:rsidRPr="00CF4C4E" w:rsidRDefault="00DD68A6" w:rsidP="00CF4C4E">
            <w:pPr>
              <w:rPr>
                <w:sz w:val="20"/>
                <w:szCs w:val="20"/>
                <w:lang w:val="en-GB"/>
              </w:rPr>
            </w:pP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DD68A6" w:rsidRPr="00CF4C4E" w:rsidRDefault="00DD68A6" w:rsidP="00CF4C4E">
            <w:pPr>
              <w:jc w:val="center"/>
              <w:rPr>
                <w:sz w:val="20"/>
                <w:szCs w:val="20"/>
                <w:lang w:val="en-GB"/>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DD68A6" w:rsidRPr="00CF4C4E" w:rsidRDefault="00DD68A6" w:rsidP="00CF4C4E">
            <w:pPr>
              <w:jc w:val="center"/>
              <w:rPr>
                <w:sz w:val="20"/>
                <w:szCs w:val="20"/>
                <w:lang w:val="en-GB"/>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DD68A6" w:rsidRPr="00CF4C4E" w:rsidRDefault="00DD68A6" w:rsidP="00CF4C4E">
            <w:pPr>
              <w:jc w:val="center"/>
              <w:rPr>
                <w:sz w:val="20"/>
                <w:szCs w:val="20"/>
                <w:lang w:val="en-GB"/>
              </w:rPr>
            </w:pPr>
          </w:p>
        </w:tc>
      </w:tr>
      <w:tr w:rsidR="00DD68A6" w:rsidRPr="00CF4C4E" w:rsidTr="00FB1798">
        <w:trPr>
          <w:trHeight w:val="386"/>
        </w:trPr>
        <w:tc>
          <w:tcPr>
            <w:tcW w:w="902" w:type="pct"/>
            <w:tcBorders>
              <w:top w:val="double" w:sz="4" w:space="0" w:color="auto"/>
              <w:left w:val="double" w:sz="4" w:space="0" w:color="auto"/>
              <w:bottom w:val="double" w:sz="4" w:space="0" w:color="auto"/>
              <w:right w:val="single" w:sz="4" w:space="0" w:color="auto"/>
            </w:tcBorders>
          </w:tcPr>
          <w:p w:rsidR="00DD68A6" w:rsidRPr="00CF4C4E" w:rsidRDefault="00DD68A6" w:rsidP="00CF4C4E">
            <w:pPr>
              <w:rPr>
                <w:sz w:val="20"/>
                <w:szCs w:val="20"/>
                <w:lang w:val="en-GB"/>
              </w:rPr>
            </w:pPr>
            <w:r w:rsidRPr="00CF4C4E">
              <w:rPr>
                <w:sz w:val="20"/>
                <w:szCs w:val="20"/>
                <w:lang w:val="en-GB"/>
              </w:rPr>
              <w:t xml:space="preserve">3.1.8 Continuous training of prosecutors and judges about the relevance of circumstantial evidence - analysis and inferences </w:t>
            </w:r>
            <w:r w:rsidRPr="00CF4C4E">
              <w:rPr>
                <w:sz w:val="20"/>
                <w:szCs w:val="20"/>
                <w:lang w:val="en-GB"/>
              </w:rPr>
              <w:lastRenderedPageBreak/>
              <w:t xml:space="preserve">based on circumstantial evidence; decision-making on admissibility of evidence at the preparatory hearing; assessment of forensic evidence  </w:t>
            </w:r>
          </w:p>
        </w:tc>
        <w:tc>
          <w:tcPr>
            <w:tcW w:w="379" w:type="pct"/>
            <w:tcBorders>
              <w:top w:val="double" w:sz="4" w:space="0" w:color="auto"/>
              <w:left w:val="single" w:sz="4" w:space="0" w:color="auto"/>
              <w:bottom w:val="double" w:sz="4" w:space="0" w:color="auto"/>
              <w:right w:val="single" w:sz="4" w:space="0" w:color="auto"/>
            </w:tcBorders>
          </w:tcPr>
          <w:p w:rsidR="00DD68A6" w:rsidRPr="00CF4C4E" w:rsidRDefault="005768D4" w:rsidP="00CF4C4E">
            <w:pPr>
              <w:rPr>
                <w:sz w:val="20"/>
                <w:szCs w:val="20"/>
                <w:lang w:val="en-GB"/>
              </w:rPr>
            </w:pPr>
            <w:r w:rsidRPr="00CF4C4E">
              <w:rPr>
                <w:sz w:val="20"/>
                <w:szCs w:val="20"/>
                <w:lang w:val="en-GB"/>
              </w:rPr>
              <w:lastRenderedPageBreak/>
              <w:t xml:space="preserve">JA </w:t>
            </w:r>
          </w:p>
        </w:tc>
        <w:tc>
          <w:tcPr>
            <w:tcW w:w="484" w:type="pct"/>
            <w:tcBorders>
              <w:top w:val="double" w:sz="4" w:space="0" w:color="auto"/>
              <w:left w:val="single" w:sz="4" w:space="0" w:color="auto"/>
              <w:bottom w:val="double" w:sz="4" w:space="0" w:color="auto"/>
              <w:right w:val="single" w:sz="4" w:space="0" w:color="auto"/>
            </w:tcBorders>
          </w:tcPr>
          <w:p w:rsidR="00DD68A6" w:rsidRPr="00CF4C4E" w:rsidRDefault="00DD68A6" w:rsidP="00CF4C4E">
            <w:pPr>
              <w:rPr>
                <w:sz w:val="20"/>
                <w:szCs w:val="20"/>
                <w:lang w:val="en-GB"/>
              </w:rPr>
            </w:pPr>
            <w:r w:rsidRPr="00CF4C4E">
              <w:rPr>
                <w:sz w:val="20"/>
                <w:szCs w:val="20"/>
                <w:lang w:val="en-GB"/>
              </w:rPr>
              <w:t>RPPO and SCC; MoI</w:t>
            </w:r>
          </w:p>
        </w:tc>
        <w:tc>
          <w:tcPr>
            <w:tcW w:w="376" w:type="pct"/>
            <w:tcBorders>
              <w:top w:val="double" w:sz="4" w:space="0" w:color="auto"/>
              <w:left w:val="single" w:sz="4" w:space="0" w:color="auto"/>
              <w:bottom w:val="double" w:sz="4" w:space="0" w:color="auto"/>
              <w:right w:val="single" w:sz="4" w:space="0" w:color="auto"/>
            </w:tcBorders>
          </w:tcPr>
          <w:p w:rsidR="00DD68A6" w:rsidRPr="00CF4C4E" w:rsidRDefault="001B2108" w:rsidP="00CF4C4E">
            <w:pPr>
              <w:rPr>
                <w:sz w:val="20"/>
                <w:szCs w:val="20"/>
                <w:lang w:val="en-GB"/>
              </w:rPr>
            </w:pPr>
            <w:r w:rsidRPr="00CF4C4E">
              <w:rPr>
                <w:sz w:val="20"/>
                <w:szCs w:val="20"/>
                <w:lang w:val="en-GB"/>
              </w:rPr>
              <w:t>IV quarter of 2022</w:t>
            </w:r>
          </w:p>
        </w:tc>
        <w:tc>
          <w:tcPr>
            <w:tcW w:w="538" w:type="pct"/>
            <w:tcBorders>
              <w:top w:val="double" w:sz="4" w:space="0" w:color="auto"/>
              <w:left w:val="single" w:sz="4" w:space="0" w:color="auto"/>
              <w:bottom w:val="double" w:sz="4" w:space="0" w:color="auto"/>
              <w:right w:val="single" w:sz="4" w:space="0" w:color="auto"/>
            </w:tcBorders>
          </w:tcPr>
          <w:p w:rsidR="00A927A4" w:rsidRPr="00CF4C4E" w:rsidRDefault="00A927A4" w:rsidP="00CF4C4E">
            <w:pPr>
              <w:pStyle w:val="basic-paragraph"/>
              <w:spacing w:before="0" w:beforeAutospacing="0" w:after="0" w:afterAutospacing="0"/>
              <w:rPr>
                <w:sz w:val="20"/>
                <w:szCs w:val="20"/>
                <w:lang w:val="en-GB"/>
              </w:rPr>
            </w:pPr>
            <w:r w:rsidRPr="00CF4C4E">
              <w:rPr>
                <w:sz w:val="20"/>
                <w:szCs w:val="20"/>
                <w:lang w:val="en-GB"/>
              </w:rPr>
              <w:t>International donor funds</w:t>
            </w:r>
          </w:p>
          <w:p w:rsidR="00DD68A6" w:rsidRPr="00CF4C4E" w:rsidRDefault="00DD68A6" w:rsidP="00CF4C4E">
            <w:pPr>
              <w:rPr>
                <w:sz w:val="20"/>
                <w:szCs w:val="20"/>
                <w:lang w:val="en-GB"/>
              </w:rPr>
            </w:pPr>
          </w:p>
        </w:tc>
        <w:tc>
          <w:tcPr>
            <w:tcW w:w="376" w:type="pct"/>
            <w:tcBorders>
              <w:top w:val="double" w:sz="4" w:space="0" w:color="auto"/>
              <w:left w:val="single" w:sz="4" w:space="0" w:color="auto"/>
              <w:bottom w:val="double" w:sz="4" w:space="0" w:color="auto"/>
              <w:right w:val="single" w:sz="4" w:space="0" w:color="auto"/>
            </w:tcBorders>
            <w:shd w:val="clear" w:color="auto" w:fill="auto"/>
          </w:tcPr>
          <w:p w:rsidR="00DD68A6" w:rsidRPr="00CF4C4E" w:rsidRDefault="00DD68A6" w:rsidP="00CF4C4E">
            <w:pPr>
              <w:rPr>
                <w:sz w:val="20"/>
                <w:szCs w:val="20"/>
                <w:lang w:val="en-GB"/>
              </w:rPr>
            </w:pP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DD68A6" w:rsidRPr="00CF4C4E" w:rsidRDefault="00DD68A6" w:rsidP="00CF4C4E">
            <w:pPr>
              <w:jc w:val="center"/>
              <w:rPr>
                <w:sz w:val="20"/>
                <w:szCs w:val="20"/>
                <w:lang w:val="en-GB"/>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DD68A6" w:rsidRPr="00CF4C4E" w:rsidRDefault="00DD68A6" w:rsidP="00CF4C4E">
            <w:pPr>
              <w:jc w:val="center"/>
              <w:rPr>
                <w:sz w:val="20"/>
                <w:szCs w:val="20"/>
                <w:lang w:val="en-GB"/>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DD68A6" w:rsidRPr="00CF4C4E" w:rsidRDefault="00DD68A6" w:rsidP="00CF4C4E">
            <w:pPr>
              <w:jc w:val="center"/>
              <w:rPr>
                <w:sz w:val="20"/>
                <w:szCs w:val="20"/>
                <w:lang w:val="en-GB"/>
              </w:rPr>
            </w:pPr>
          </w:p>
        </w:tc>
      </w:tr>
      <w:tr w:rsidR="00DD68A6" w:rsidRPr="00CF4C4E" w:rsidTr="00A86266">
        <w:trPr>
          <w:trHeight w:val="1955"/>
        </w:trPr>
        <w:tc>
          <w:tcPr>
            <w:tcW w:w="902" w:type="pct"/>
            <w:tcBorders>
              <w:top w:val="double" w:sz="4" w:space="0" w:color="auto"/>
              <w:left w:val="double" w:sz="4" w:space="0" w:color="auto"/>
              <w:bottom w:val="double" w:sz="4" w:space="0" w:color="auto"/>
              <w:right w:val="single" w:sz="4" w:space="0" w:color="auto"/>
            </w:tcBorders>
          </w:tcPr>
          <w:p w:rsidR="00DD68A6" w:rsidRPr="00CF4C4E" w:rsidRDefault="009255B6" w:rsidP="00CF4C4E">
            <w:pPr>
              <w:rPr>
                <w:sz w:val="20"/>
                <w:szCs w:val="20"/>
                <w:lang w:val="en-GB"/>
              </w:rPr>
            </w:pPr>
            <w:r w:rsidRPr="00CF4C4E">
              <w:rPr>
                <w:sz w:val="20"/>
                <w:szCs w:val="20"/>
                <w:lang w:val="en-GB"/>
              </w:rPr>
              <w:lastRenderedPageBreak/>
              <w:t xml:space="preserve">3.1.9 Continuous delivery of training for prosecuting legal entities as perpetrators of the criminal offence of money laundering </w:t>
            </w:r>
          </w:p>
        </w:tc>
        <w:tc>
          <w:tcPr>
            <w:tcW w:w="379" w:type="pct"/>
            <w:tcBorders>
              <w:top w:val="double" w:sz="4" w:space="0" w:color="auto"/>
              <w:left w:val="single" w:sz="4" w:space="0" w:color="auto"/>
              <w:bottom w:val="double" w:sz="4" w:space="0" w:color="auto"/>
              <w:right w:val="single" w:sz="4" w:space="0" w:color="auto"/>
            </w:tcBorders>
          </w:tcPr>
          <w:p w:rsidR="00DD68A6" w:rsidRPr="00CF4C4E" w:rsidRDefault="005768D4" w:rsidP="00CF4C4E">
            <w:pPr>
              <w:rPr>
                <w:sz w:val="20"/>
                <w:szCs w:val="20"/>
                <w:lang w:val="en-GB"/>
              </w:rPr>
            </w:pPr>
            <w:r w:rsidRPr="00CF4C4E">
              <w:rPr>
                <w:sz w:val="20"/>
                <w:szCs w:val="20"/>
                <w:lang w:val="en-GB"/>
              </w:rPr>
              <w:t xml:space="preserve">JA </w:t>
            </w:r>
          </w:p>
        </w:tc>
        <w:tc>
          <w:tcPr>
            <w:tcW w:w="484" w:type="pct"/>
            <w:tcBorders>
              <w:top w:val="double" w:sz="4" w:space="0" w:color="auto"/>
              <w:left w:val="single" w:sz="4" w:space="0" w:color="auto"/>
              <w:bottom w:val="double" w:sz="4" w:space="0" w:color="auto"/>
              <w:right w:val="single" w:sz="4" w:space="0" w:color="auto"/>
            </w:tcBorders>
          </w:tcPr>
          <w:p w:rsidR="00DD68A6" w:rsidRPr="00CF4C4E" w:rsidRDefault="00DD68A6" w:rsidP="00CF4C4E">
            <w:pPr>
              <w:rPr>
                <w:sz w:val="20"/>
                <w:szCs w:val="20"/>
                <w:lang w:val="en-GB"/>
              </w:rPr>
            </w:pPr>
            <w:r w:rsidRPr="00CF4C4E">
              <w:rPr>
                <w:sz w:val="20"/>
                <w:szCs w:val="20"/>
                <w:lang w:val="en-GB"/>
              </w:rPr>
              <w:t>RPPO; SCC; MoI</w:t>
            </w:r>
          </w:p>
        </w:tc>
        <w:tc>
          <w:tcPr>
            <w:tcW w:w="376" w:type="pct"/>
            <w:tcBorders>
              <w:top w:val="double" w:sz="4" w:space="0" w:color="auto"/>
              <w:left w:val="single" w:sz="4" w:space="0" w:color="auto"/>
              <w:bottom w:val="double" w:sz="4" w:space="0" w:color="auto"/>
              <w:right w:val="single" w:sz="4" w:space="0" w:color="auto"/>
            </w:tcBorders>
          </w:tcPr>
          <w:p w:rsidR="00DD68A6" w:rsidRPr="00CF4C4E" w:rsidRDefault="00DD68A6" w:rsidP="00CF4C4E">
            <w:pPr>
              <w:rPr>
                <w:sz w:val="20"/>
                <w:szCs w:val="20"/>
                <w:lang w:val="en-GB"/>
              </w:rPr>
            </w:pPr>
            <w:r w:rsidRPr="00CF4C4E">
              <w:rPr>
                <w:sz w:val="20"/>
                <w:szCs w:val="20"/>
                <w:lang w:val="en-GB"/>
              </w:rPr>
              <w:t>IV quarter of 2022</w:t>
            </w:r>
          </w:p>
        </w:tc>
        <w:tc>
          <w:tcPr>
            <w:tcW w:w="538" w:type="pct"/>
            <w:tcBorders>
              <w:top w:val="double" w:sz="4" w:space="0" w:color="auto"/>
              <w:left w:val="single" w:sz="4" w:space="0" w:color="auto"/>
              <w:bottom w:val="double" w:sz="4" w:space="0" w:color="auto"/>
              <w:right w:val="single" w:sz="4" w:space="0" w:color="auto"/>
            </w:tcBorders>
          </w:tcPr>
          <w:p w:rsidR="001B2108" w:rsidRPr="00CF4C4E" w:rsidRDefault="001B2108" w:rsidP="00CF4C4E">
            <w:pPr>
              <w:rPr>
                <w:sz w:val="20"/>
                <w:szCs w:val="20"/>
                <w:lang w:val="en-GB"/>
              </w:rPr>
            </w:pPr>
            <w:r w:rsidRPr="00CF4C4E">
              <w:rPr>
                <w:sz w:val="20"/>
                <w:szCs w:val="20"/>
                <w:lang w:val="en-GB"/>
              </w:rPr>
              <w:t xml:space="preserve">Financing partially secured in the Project of EU support to prevention of money laundering and terrorism financing in Serbia </w:t>
            </w:r>
          </w:p>
          <w:p w:rsidR="00DD68A6" w:rsidRPr="00CF4C4E" w:rsidRDefault="00A927A4" w:rsidP="00CF4C4E">
            <w:pPr>
              <w:pStyle w:val="basic-paragraph"/>
              <w:spacing w:before="0" w:beforeAutospacing="0" w:after="0" w:afterAutospacing="0"/>
              <w:rPr>
                <w:sz w:val="20"/>
                <w:szCs w:val="20"/>
                <w:lang w:val="en-GB"/>
              </w:rPr>
            </w:pPr>
            <w:r w:rsidRPr="00CF4C4E">
              <w:rPr>
                <w:sz w:val="20"/>
                <w:szCs w:val="20"/>
                <w:lang w:val="en-GB"/>
              </w:rPr>
              <w:t>International donor funds</w:t>
            </w:r>
          </w:p>
        </w:tc>
        <w:tc>
          <w:tcPr>
            <w:tcW w:w="376" w:type="pct"/>
            <w:tcBorders>
              <w:top w:val="double" w:sz="4" w:space="0" w:color="auto"/>
              <w:left w:val="single" w:sz="4" w:space="0" w:color="auto"/>
              <w:bottom w:val="double" w:sz="4" w:space="0" w:color="auto"/>
              <w:right w:val="single" w:sz="4" w:space="0" w:color="auto"/>
            </w:tcBorders>
            <w:shd w:val="clear" w:color="auto" w:fill="auto"/>
          </w:tcPr>
          <w:p w:rsidR="00DD68A6" w:rsidRPr="00CF4C4E" w:rsidRDefault="00DD68A6" w:rsidP="00CF4C4E">
            <w:pPr>
              <w:rPr>
                <w:sz w:val="20"/>
                <w:szCs w:val="20"/>
                <w:lang w:val="en-GB"/>
              </w:rPr>
            </w:pP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DD68A6" w:rsidRPr="00CF4C4E" w:rsidRDefault="00DD68A6" w:rsidP="00CF4C4E">
            <w:pPr>
              <w:jc w:val="center"/>
              <w:rPr>
                <w:sz w:val="20"/>
                <w:szCs w:val="20"/>
                <w:lang w:val="en-GB"/>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DD68A6" w:rsidRPr="00CF4C4E" w:rsidRDefault="00DD68A6" w:rsidP="00CF4C4E">
            <w:pPr>
              <w:jc w:val="center"/>
              <w:rPr>
                <w:sz w:val="20"/>
                <w:szCs w:val="20"/>
                <w:lang w:val="en-GB"/>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DD68A6" w:rsidRPr="00CF4C4E" w:rsidRDefault="00DD68A6" w:rsidP="00CF4C4E">
            <w:pPr>
              <w:jc w:val="center"/>
              <w:rPr>
                <w:sz w:val="20"/>
                <w:szCs w:val="20"/>
                <w:lang w:val="en-GB"/>
              </w:rPr>
            </w:pPr>
          </w:p>
        </w:tc>
      </w:tr>
      <w:tr w:rsidR="00F00DFC" w:rsidRPr="00CF4C4E" w:rsidTr="00FB1798">
        <w:trPr>
          <w:trHeight w:val="386"/>
        </w:trPr>
        <w:tc>
          <w:tcPr>
            <w:tcW w:w="902" w:type="pct"/>
            <w:tcBorders>
              <w:top w:val="double" w:sz="4" w:space="0" w:color="auto"/>
              <w:left w:val="double" w:sz="4" w:space="0" w:color="auto"/>
              <w:bottom w:val="double" w:sz="4" w:space="0" w:color="auto"/>
              <w:right w:val="single" w:sz="4" w:space="0" w:color="auto"/>
            </w:tcBorders>
          </w:tcPr>
          <w:p w:rsidR="00F00DFC" w:rsidRPr="00CF4C4E" w:rsidRDefault="00F00DFC" w:rsidP="00CF4C4E">
            <w:pPr>
              <w:rPr>
                <w:sz w:val="20"/>
                <w:szCs w:val="20"/>
                <w:lang w:val="en-GB"/>
              </w:rPr>
            </w:pPr>
            <w:r w:rsidRPr="00CF4C4E">
              <w:rPr>
                <w:sz w:val="20"/>
                <w:szCs w:val="20"/>
                <w:lang w:val="en-GB"/>
              </w:rPr>
              <w:t>3.1.10 Assessment of HR capacities of the POOC and special anti-corruption departments, HPPOs and HCs and adoption of a new Rulebook on Classification of Jobs in accordance with the assessment</w:t>
            </w:r>
          </w:p>
        </w:tc>
        <w:tc>
          <w:tcPr>
            <w:tcW w:w="379" w:type="pct"/>
            <w:tcBorders>
              <w:top w:val="double" w:sz="4" w:space="0" w:color="auto"/>
              <w:left w:val="single" w:sz="4" w:space="0" w:color="auto"/>
              <w:bottom w:val="double" w:sz="4" w:space="0" w:color="auto"/>
              <w:right w:val="single" w:sz="4" w:space="0" w:color="auto"/>
            </w:tcBorders>
          </w:tcPr>
          <w:p w:rsidR="00F00DFC" w:rsidRPr="00CF4C4E" w:rsidRDefault="005768D4" w:rsidP="00CF4C4E">
            <w:pPr>
              <w:rPr>
                <w:sz w:val="20"/>
                <w:szCs w:val="20"/>
                <w:lang w:val="en-GB"/>
              </w:rPr>
            </w:pPr>
            <w:r w:rsidRPr="00CF4C4E">
              <w:rPr>
                <w:sz w:val="20"/>
                <w:szCs w:val="20"/>
                <w:lang w:val="en-GB"/>
              </w:rPr>
              <w:t>MoJ</w:t>
            </w:r>
          </w:p>
        </w:tc>
        <w:tc>
          <w:tcPr>
            <w:tcW w:w="484" w:type="pct"/>
            <w:tcBorders>
              <w:top w:val="double" w:sz="4" w:space="0" w:color="auto"/>
              <w:left w:val="single" w:sz="4" w:space="0" w:color="auto"/>
              <w:bottom w:val="double" w:sz="4" w:space="0" w:color="auto"/>
              <w:right w:val="single" w:sz="4" w:space="0" w:color="auto"/>
            </w:tcBorders>
          </w:tcPr>
          <w:p w:rsidR="00F00DFC" w:rsidRPr="00CF4C4E" w:rsidRDefault="009D68EE" w:rsidP="00CF4C4E">
            <w:pPr>
              <w:rPr>
                <w:sz w:val="20"/>
                <w:szCs w:val="20"/>
                <w:lang w:val="en-GB"/>
              </w:rPr>
            </w:pPr>
            <w:r w:rsidRPr="00CF4C4E">
              <w:rPr>
                <w:sz w:val="20"/>
                <w:szCs w:val="20"/>
                <w:lang w:val="en-GB"/>
              </w:rPr>
              <w:t>POOC and special anti-corruption departments, HPPOs and HCs</w:t>
            </w:r>
          </w:p>
        </w:tc>
        <w:tc>
          <w:tcPr>
            <w:tcW w:w="376" w:type="pct"/>
            <w:tcBorders>
              <w:top w:val="double" w:sz="4" w:space="0" w:color="auto"/>
              <w:left w:val="single" w:sz="4" w:space="0" w:color="auto"/>
              <w:bottom w:val="double" w:sz="4" w:space="0" w:color="auto"/>
              <w:right w:val="single" w:sz="4" w:space="0" w:color="auto"/>
            </w:tcBorders>
          </w:tcPr>
          <w:p w:rsidR="00F00DFC" w:rsidRPr="00CF4C4E" w:rsidRDefault="009D68EE" w:rsidP="00CF4C4E">
            <w:pPr>
              <w:rPr>
                <w:sz w:val="20"/>
                <w:szCs w:val="20"/>
                <w:lang w:val="en-GB"/>
              </w:rPr>
            </w:pPr>
            <w:r w:rsidRPr="00CF4C4E">
              <w:rPr>
                <w:sz w:val="20"/>
                <w:szCs w:val="20"/>
                <w:lang w:val="en-GB"/>
              </w:rPr>
              <w:t>IV quarter of 2020</w:t>
            </w:r>
          </w:p>
        </w:tc>
        <w:tc>
          <w:tcPr>
            <w:tcW w:w="538" w:type="pct"/>
            <w:tcBorders>
              <w:top w:val="double" w:sz="4" w:space="0" w:color="auto"/>
              <w:left w:val="single" w:sz="4" w:space="0" w:color="auto"/>
              <w:bottom w:val="double" w:sz="4" w:space="0" w:color="auto"/>
              <w:right w:val="single" w:sz="4" w:space="0" w:color="auto"/>
            </w:tcBorders>
          </w:tcPr>
          <w:p w:rsidR="009D68EE" w:rsidRPr="00CF4C4E" w:rsidRDefault="009D68EE" w:rsidP="00CF4C4E">
            <w:pPr>
              <w:rPr>
                <w:sz w:val="20"/>
                <w:szCs w:val="20"/>
                <w:lang w:val="en-GB"/>
              </w:rPr>
            </w:pPr>
            <w:r w:rsidRPr="00CF4C4E">
              <w:rPr>
                <w:sz w:val="20"/>
                <w:szCs w:val="20"/>
                <w:lang w:val="en-GB"/>
              </w:rPr>
              <w:t>Financed as part of regular activities of staff</w:t>
            </w:r>
          </w:p>
          <w:p w:rsidR="00F00DFC" w:rsidRPr="00CF4C4E" w:rsidRDefault="00F00DFC" w:rsidP="00CF4C4E">
            <w:pPr>
              <w:rPr>
                <w:sz w:val="20"/>
                <w:szCs w:val="20"/>
                <w:highlight w:val="yellow"/>
                <w:lang w:val="en-GB"/>
              </w:rPr>
            </w:pPr>
          </w:p>
        </w:tc>
        <w:tc>
          <w:tcPr>
            <w:tcW w:w="376" w:type="pct"/>
            <w:tcBorders>
              <w:top w:val="double" w:sz="4" w:space="0" w:color="auto"/>
              <w:left w:val="single" w:sz="4" w:space="0" w:color="auto"/>
              <w:bottom w:val="double" w:sz="4" w:space="0" w:color="auto"/>
              <w:right w:val="single" w:sz="4" w:space="0" w:color="auto"/>
            </w:tcBorders>
            <w:shd w:val="clear" w:color="auto" w:fill="auto"/>
          </w:tcPr>
          <w:p w:rsidR="00F00DFC" w:rsidRPr="00CF4C4E" w:rsidRDefault="00F00DFC" w:rsidP="00CF4C4E">
            <w:pPr>
              <w:rPr>
                <w:sz w:val="20"/>
                <w:szCs w:val="20"/>
                <w:lang w:val="en-GB"/>
              </w:rPr>
            </w:pP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F00DFC" w:rsidRPr="00CF4C4E" w:rsidRDefault="00F00DFC" w:rsidP="00CF4C4E">
            <w:pPr>
              <w:jc w:val="center"/>
              <w:rPr>
                <w:sz w:val="20"/>
                <w:szCs w:val="20"/>
                <w:lang w:val="en-GB"/>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F00DFC" w:rsidRPr="00CF4C4E" w:rsidRDefault="00F00DFC" w:rsidP="00CF4C4E">
            <w:pPr>
              <w:jc w:val="center"/>
              <w:rPr>
                <w:sz w:val="20"/>
                <w:szCs w:val="20"/>
                <w:lang w:val="en-GB"/>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F00DFC" w:rsidRPr="00CF4C4E" w:rsidRDefault="00F00DFC" w:rsidP="00CF4C4E">
            <w:pPr>
              <w:jc w:val="center"/>
              <w:rPr>
                <w:sz w:val="20"/>
                <w:szCs w:val="20"/>
                <w:lang w:val="en-GB"/>
              </w:rPr>
            </w:pPr>
          </w:p>
        </w:tc>
      </w:tr>
      <w:tr w:rsidR="00F00DFC" w:rsidRPr="00CF4C4E" w:rsidTr="00FB1798">
        <w:trPr>
          <w:trHeight w:val="386"/>
        </w:trPr>
        <w:tc>
          <w:tcPr>
            <w:tcW w:w="902" w:type="pct"/>
            <w:tcBorders>
              <w:top w:val="double" w:sz="4" w:space="0" w:color="auto"/>
              <w:left w:val="double" w:sz="4" w:space="0" w:color="auto"/>
              <w:bottom w:val="single" w:sz="4" w:space="0" w:color="auto"/>
              <w:right w:val="single" w:sz="4" w:space="0" w:color="auto"/>
            </w:tcBorders>
          </w:tcPr>
          <w:p w:rsidR="00F00DFC" w:rsidRPr="00CF4C4E" w:rsidRDefault="00F00DFC" w:rsidP="00CF4C4E">
            <w:pPr>
              <w:rPr>
                <w:sz w:val="20"/>
                <w:szCs w:val="20"/>
                <w:lang w:val="en-GB"/>
              </w:rPr>
            </w:pPr>
            <w:r w:rsidRPr="00CF4C4E">
              <w:rPr>
                <w:sz w:val="20"/>
                <w:szCs w:val="20"/>
                <w:lang w:val="en-GB"/>
              </w:rPr>
              <w:t>3.1.11 Recruitment of vacancies in line with the Rulebook on Classification of Jobs of the POOC and special anti-corruption departments, HPPOs and HCs</w:t>
            </w:r>
          </w:p>
        </w:tc>
        <w:tc>
          <w:tcPr>
            <w:tcW w:w="379" w:type="pct"/>
            <w:tcBorders>
              <w:top w:val="double" w:sz="4" w:space="0" w:color="auto"/>
              <w:left w:val="single" w:sz="4" w:space="0" w:color="auto"/>
              <w:bottom w:val="single" w:sz="4" w:space="0" w:color="auto"/>
              <w:right w:val="single" w:sz="4" w:space="0" w:color="auto"/>
            </w:tcBorders>
          </w:tcPr>
          <w:p w:rsidR="00F00DFC" w:rsidRPr="00CF4C4E" w:rsidRDefault="005768D4" w:rsidP="00CF4C4E">
            <w:pPr>
              <w:rPr>
                <w:sz w:val="20"/>
                <w:szCs w:val="20"/>
                <w:lang w:val="en-GB"/>
              </w:rPr>
            </w:pPr>
            <w:r w:rsidRPr="00CF4C4E">
              <w:rPr>
                <w:sz w:val="20"/>
                <w:szCs w:val="20"/>
                <w:lang w:val="en-GB"/>
              </w:rPr>
              <w:t>MoJ</w:t>
            </w:r>
          </w:p>
        </w:tc>
        <w:tc>
          <w:tcPr>
            <w:tcW w:w="484" w:type="pct"/>
            <w:tcBorders>
              <w:top w:val="double" w:sz="4" w:space="0" w:color="auto"/>
              <w:left w:val="single" w:sz="4" w:space="0" w:color="auto"/>
              <w:bottom w:val="single" w:sz="4" w:space="0" w:color="auto"/>
              <w:right w:val="single" w:sz="4" w:space="0" w:color="auto"/>
            </w:tcBorders>
          </w:tcPr>
          <w:p w:rsidR="00F00DFC" w:rsidRPr="00CF4C4E" w:rsidRDefault="009D68EE" w:rsidP="00CF4C4E">
            <w:pPr>
              <w:rPr>
                <w:sz w:val="20"/>
                <w:szCs w:val="20"/>
                <w:lang w:val="en-GB"/>
              </w:rPr>
            </w:pPr>
            <w:r w:rsidRPr="00CF4C4E">
              <w:rPr>
                <w:sz w:val="20"/>
                <w:szCs w:val="20"/>
                <w:lang w:val="en-GB"/>
              </w:rPr>
              <w:t>POOC and special anti-corruption departments, HPPOs and HCs</w:t>
            </w:r>
          </w:p>
        </w:tc>
        <w:tc>
          <w:tcPr>
            <w:tcW w:w="376" w:type="pct"/>
            <w:tcBorders>
              <w:top w:val="double" w:sz="4" w:space="0" w:color="auto"/>
              <w:left w:val="single" w:sz="4" w:space="0" w:color="auto"/>
              <w:bottom w:val="single" w:sz="4" w:space="0" w:color="auto"/>
              <w:right w:val="single" w:sz="4" w:space="0" w:color="auto"/>
            </w:tcBorders>
          </w:tcPr>
          <w:p w:rsidR="00F00DFC" w:rsidRPr="00CF4C4E" w:rsidRDefault="009D68EE" w:rsidP="00CF4C4E">
            <w:pPr>
              <w:rPr>
                <w:sz w:val="20"/>
                <w:szCs w:val="20"/>
                <w:lang w:val="en-GB"/>
              </w:rPr>
            </w:pPr>
            <w:r w:rsidRPr="00CF4C4E">
              <w:rPr>
                <w:sz w:val="20"/>
                <w:szCs w:val="20"/>
                <w:lang w:val="en-GB"/>
              </w:rPr>
              <w:t>IV quarter of 2022</w:t>
            </w:r>
          </w:p>
        </w:tc>
        <w:tc>
          <w:tcPr>
            <w:tcW w:w="538" w:type="pct"/>
            <w:tcBorders>
              <w:top w:val="double" w:sz="4" w:space="0" w:color="auto"/>
              <w:left w:val="single" w:sz="4" w:space="0" w:color="auto"/>
              <w:bottom w:val="single" w:sz="4" w:space="0" w:color="auto"/>
              <w:right w:val="single" w:sz="4" w:space="0" w:color="auto"/>
            </w:tcBorders>
          </w:tcPr>
          <w:p w:rsidR="00F00DFC" w:rsidRPr="00CF4C4E" w:rsidRDefault="009D68EE" w:rsidP="00CF4C4E">
            <w:pPr>
              <w:rPr>
                <w:sz w:val="20"/>
                <w:szCs w:val="20"/>
                <w:highlight w:val="yellow"/>
                <w:lang w:val="en-GB"/>
              </w:rPr>
            </w:pPr>
            <w:r w:rsidRPr="00CF4C4E">
              <w:rPr>
                <w:sz w:val="20"/>
                <w:szCs w:val="20"/>
                <w:lang w:val="en-GB"/>
              </w:rPr>
              <w:t xml:space="preserve">RS Budget </w:t>
            </w:r>
          </w:p>
        </w:tc>
        <w:tc>
          <w:tcPr>
            <w:tcW w:w="376" w:type="pct"/>
            <w:tcBorders>
              <w:top w:val="double" w:sz="4" w:space="0" w:color="auto"/>
              <w:left w:val="single" w:sz="4" w:space="0" w:color="auto"/>
              <w:bottom w:val="single" w:sz="4" w:space="0" w:color="auto"/>
              <w:right w:val="single" w:sz="4" w:space="0" w:color="auto"/>
            </w:tcBorders>
            <w:shd w:val="clear" w:color="auto" w:fill="auto"/>
          </w:tcPr>
          <w:p w:rsidR="00F00DFC" w:rsidRPr="00CF4C4E" w:rsidRDefault="00F00DFC" w:rsidP="00CF4C4E">
            <w:pPr>
              <w:rPr>
                <w:sz w:val="20"/>
                <w:szCs w:val="20"/>
                <w:lang w:val="en-GB"/>
              </w:rPr>
            </w:pP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F00DFC" w:rsidRPr="00CF4C4E" w:rsidRDefault="00F00DFC" w:rsidP="00CF4C4E">
            <w:pPr>
              <w:jc w:val="center"/>
              <w:rPr>
                <w:sz w:val="20"/>
                <w:szCs w:val="20"/>
                <w:lang w:val="en-GB"/>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F00DFC" w:rsidRPr="00CF4C4E" w:rsidRDefault="00F00DFC" w:rsidP="00CF4C4E">
            <w:pPr>
              <w:jc w:val="center"/>
              <w:rPr>
                <w:sz w:val="20"/>
                <w:szCs w:val="20"/>
                <w:lang w:val="en-GB"/>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F00DFC" w:rsidRPr="00CF4C4E" w:rsidRDefault="00F00DFC" w:rsidP="00CF4C4E">
            <w:pPr>
              <w:jc w:val="center"/>
              <w:rPr>
                <w:sz w:val="20"/>
                <w:szCs w:val="20"/>
                <w:lang w:val="en-GB"/>
              </w:rPr>
            </w:pPr>
          </w:p>
        </w:tc>
      </w:tr>
    </w:tbl>
    <w:p w:rsidR="00863A32" w:rsidRPr="00CF4C4E" w:rsidRDefault="00863A32" w:rsidP="00CF4C4E">
      <w:pPr>
        <w:tabs>
          <w:tab w:val="left" w:pos="1940"/>
        </w:tabs>
        <w:rPr>
          <w:sz w:val="20"/>
          <w:szCs w:val="20"/>
          <w:lang w:val="en-GB"/>
        </w:rPr>
      </w:pPr>
    </w:p>
    <w:p w:rsidR="00863A32" w:rsidRPr="00CF4C4E" w:rsidRDefault="00863A32" w:rsidP="00CF4C4E">
      <w:pPr>
        <w:tabs>
          <w:tab w:val="left" w:pos="1940"/>
        </w:tabs>
        <w:rPr>
          <w:sz w:val="20"/>
          <w:szCs w:val="20"/>
          <w:lang w:val="en-GB"/>
        </w:rPr>
      </w:pPr>
    </w:p>
    <w:tbl>
      <w:tblPr>
        <w:tblStyle w:val="TableGrid"/>
        <w:tblW w:w="14132" w:type="dxa"/>
        <w:tblInd w:w="10" w:type="dxa"/>
        <w:tblLayout w:type="fixed"/>
        <w:tblLook w:val="04A0"/>
      </w:tblPr>
      <w:tblGrid>
        <w:gridCol w:w="4067"/>
        <w:gridCol w:w="1560"/>
        <w:gridCol w:w="1275"/>
        <w:gridCol w:w="567"/>
        <w:gridCol w:w="1134"/>
        <w:gridCol w:w="1134"/>
        <w:gridCol w:w="1560"/>
        <w:gridCol w:w="1275"/>
        <w:gridCol w:w="1560"/>
      </w:tblGrid>
      <w:tr w:rsidR="00863A32" w:rsidRPr="00CF4C4E" w:rsidTr="00A86266">
        <w:trPr>
          <w:trHeight w:val="169"/>
        </w:trPr>
        <w:tc>
          <w:tcPr>
            <w:tcW w:w="14132" w:type="dxa"/>
            <w:gridSpan w:val="9"/>
            <w:tcBorders>
              <w:top w:val="double" w:sz="4" w:space="0" w:color="auto"/>
              <w:left w:val="double" w:sz="4" w:space="0" w:color="auto"/>
              <w:right w:val="double" w:sz="4" w:space="0" w:color="auto"/>
            </w:tcBorders>
            <w:shd w:val="clear" w:color="auto" w:fill="E5B8B7" w:themeFill="accent2" w:themeFillTint="66"/>
          </w:tcPr>
          <w:p w:rsidR="00863A32" w:rsidRPr="00CF4C4E" w:rsidRDefault="00863A32" w:rsidP="00CF4C4E">
            <w:pPr>
              <w:pStyle w:val="Heading3"/>
              <w:spacing w:before="0"/>
              <w:rPr>
                <w:rFonts w:cs="Times New Roman"/>
                <w:szCs w:val="20"/>
                <w:lang w:val="en-GB"/>
              </w:rPr>
            </w:pPr>
            <w:bookmarkStart w:id="12" w:name="_Toc32409916"/>
            <w:r w:rsidRPr="00CF4C4E">
              <w:rPr>
                <w:rFonts w:cs="Times New Roman"/>
                <w:szCs w:val="20"/>
                <w:lang w:val="en-GB"/>
              </w:rPr>
              <w:lastRenderedPageBreak/>
              <w:t>Measure 3.2:</w:t>
            </w:r>
            <w:r w:rsidRPr="00CF4C4E">
              <w:rPr>
                <w:rFonts w:cs="Times New Roman"/>
                <w:b w:val="0"/>
                <w:bCs w:val="0"/>
                <w:szCs w:val="20"/>
                <w:lang w:val="en-GB"/>
              </w:rPr>
              <w:t xml:space="preserve"> </w:t>
            </w:r>
            <w:r w:rsidRPr="00CF4C4E">
              <w:rPr>
                <w:rFonts w:cs="Times New Roman"/>
                <w:szCs w:val="20"/>
                <w:lang w:val="en-GB"/>
              </w:rPr>
              <w:t>Imposing effective and deterring criminal sanctions</w:t>
            </w:r>
            <w:bookmarkEnd w:id="12"/>
            <w:r w:rsidRPr="00CF4C4E">
              <w:rPr>
                <w:rFonts w:cs="Times New Roman"/>
                <w:b w:val="0"/>
                <w:bCs w:val="0"/>
                <w:szCs w:val="20"/>
                <w:lang w:val="en-GB"/>
              </w:rPr>
              <w:t xml:space="preserve"> </w:t>
            </w:r>
          </w:p>
        </w:tc>
      </w:tr>
      <w:tr w:rsidR="00863A32" w:rsidRPr="00CF4C4E" w:rsidTr="00A86266">
        <w:trPr>
          <w:trHeight w:val="300"/>
        </w:trPr>
        <w:tc>
          <w:tcPr>
            <w:tcW w:w="14132" w:type="dxa"/>
            <w:gridSpan w:val="9"/>
            <w:tcBorders>
              <w:top w:val="double" w:sz="4" w:space="0" w:color="auto"/>
              <w:left w:val="double" w:sz="4" w:space="0" w:color="auto"/>
              <w:bottom w:val="double" w:sz="4" w:space="0" w:color="auto"/>
              <w:right w:val="double" w:sz="4" w:space="0" w:color="auto"/>
            </w:tcBorders>
            <w:shd w:val="clear" w:color="auto" w:fill="E5B8B7" w:themeFill="accent2" w:themeFillTint="66"/>
            <w:vAlign w:val="center"/>
          </w:tcPr>
          <w:p w:rsidR="00863A32" w:rsidRPr="00CF4C4E" w:rsidRDefault="00863A32" w:rsidP="00CF4C4E">
            <w:pPr>
              <w:tabs>
                <w:tab w:val="left" w:pos="1940"/>
              </w:tabs>
              <w:rPr>
                <w:sz w:val="20"/>
                <w:szCs w:val="20"/>
                <w:lang w:val="en-GB"/>
              </w:rPr>
            </w:pPr>
            <w:r w:rsidRPr="00CF4C4E">
              <w:rPr>
                <w:sz w:val="20"/>
                <w:szCs w:val="20"/>
                <w:lang w:val="en-GB"/>
              </w:rPr>
              <w:t>Institution responsible for monitoring and control of implementation: SCC</w:t>
            </w:r>
          </w:p>
        </w:tc>
      </w:tr>
      <w:tr w:rsidR="00863A32" w:rsidRPr="00CF4C4E" w:rsidTr="00A86266">
        <w:trPr>
          <w:trHeight w:val="300"/>
        </w:trPr>
        <w:tc>
          <w:tcPr>
            <w:tcW w:w="6902" w:type="dxa"/>
            <w:gridSpan w:val="3"/>
            <w:tcBorders>
              <w:top w:val="double" w:sz="4" w:space="0" w:color="auto"/>
              <w:left w:val="double" w:sz="4" w:space="0" w:color="auto"/>
              <w:bottom w:val="double" w:sz="4" w:space="0" w:color="auto"/>
              <w:right w:val="double" w:sz="4" w:space="0" w:color="auto"/>
            </w:tcBorders>
            <w:shd w:val="clear" w:color="auto" w:fill="E5B8B7" w:themeFill="accent2" w:themeFillTint="66"/>
          </w:tcPr>
          <w:p w:rsidR="00863A32" w:rsidRPr="00CF4C4E" w:rsidRDefault="00863A32" w:rsidP="00CF4C4E">
            <w:pPr>
              <w:tabs>
                <w:tab w:val="left" w:pos="1940"/>
              </w:tabs>
              <w:rPr>
                <w:sz w:val="20"/>
                <w:szCs w:val="20"/>
                <w:lang w:val="en-GB"/>
              </w:rPr>
            </w:pPr>
            <w:r w:rsidRPr="00CF4C4E">
              <w:rPr>
                <w:sz w:val="20"/>
                <w:szCs w:val="20"/>
                <w:lang w:val="en-GB"/>
              </w:rPr>
              <w:t>Implementation period: 2020-2022</w:t>
            </w:r>
          </w:p>
        </w:tc>
        <w:tc>
          <w:tcPr>
            <w:tcW w:w="7230" w:type="dxa"/>
            <w:gridSpan w:val="6"/>
            <w:tcBorders>
              <w:top w:val="double" w:sz="4" w:space="0" w:color="auto"/>
              <w:left w:val="double" w:sz="4" w:space="0" w:color="auto"/>
              <w:bottom w:val="double" w:sz="4" w:space="0" w:color="auto"/>
              <w:right w:val="double" w:sz="4" w:space="0" w:color="auto"/>
            </w:tcBorders>
            <w:shd w:val="clear" w:color="auto" w:fill="E5B8B7" w:themeFill="accent2" w:themeFillTint="66"/>
          </w:tcPr>
          <w:p w:rsidR="00863A32" w:rsidRPr="00CF4C4E" w:rsidRDefault="00863A32" w:rsidP="00CF4C4E">
            <w:pPr>
              <w:tabs>
                <w:tab w:val="left" w:pos="1940"/>
              </w:tabs>
              <w:rPr>
                <w:sz w:val="20"/>
                <w:szCs w:val="20"/>
                <w:lang w:val="en-GB"/>
              </w:rPr>
            </w:pPr>
            <w:r w:rsidRPr="00CF4C4E">
              <w:rPr>
                <w:sz w:val="20"/>
                <w:szCs w:val="20"/>
                <w:lang w:val="en-GB"/>
              </w:rPr>
              <w:t>Type of measure: Information and knowledge sharing</w:t>
            </w:r>
          </w:p>
        </w:tc>
      </w:tr>
      <w:tr w:rsidR="00A86266" w:rsidRPr="00CF4C4E" w:rsidTr="00CF4C4E">
        <w:trPr>
          <w:trHeight w:val="955"/>
        </w:trPr>
        <w:tc>
          <w:tcPr>
            <w:tcW w:w="4067" w:type="dxa"/>
            <w:tcBorders>
              <w:top w:val="double" w:sz="4" w:space="0" w:color="auto"/>
            </w:tcBorders>
            <w:shd w:val="clear" w:color="auto" w:fill="D9D9D9" w:themeFill="background1" w:themeFillShade="D9"/>
          </w:tcPr>
          <w:p w:rsidR="00A86266" w:rsidRPr="00CF4C4E" w:rsidRDefault="00A86266" w:rsidP="00CF4C4E">
            <w:pPr>
              <w:tabs>
                <w:tab w:val="left" w:pos="1940"/>
              </w:tabs>
              <w:rPr>
                <w:sz w:val="20"/>
                <w:szCs w:val="20"/>
                <w:lang w:val="en-GB"/>
              </w:rPr>
            </w:pPr>
            <w:r w:rsidRPr="00CF4C4E">
              <w:rPr>
                <w:sz w:val="20"/>
                <w:szCs w:val="20"/>
                <w:lang w:val="en-GB"/>
              </w:rPr>
              <w:t>Indicator(s) at the level of measure (result indicator):</w:t>
            </w:r>
          </w:p>
        </w:tc>
        <w:tc>
          <w:tcPr>
            <w:tcW w:w="1560" w:type="dxa"/>
            <w:tcBorders>
              <w:top w:val="double" w:sz="4" w:space="0" w:color="auto"/>
            </w:tcBorders>
            <w:shd w:val="clear" w:color="auto" w:fill="D9D9D9" w:themeFill="background1" w:themeFillShade="D9"/>
          </w:tcPr>
          <w:p w:rsidR="00A86266" w:rsidRPr="00CF4C4E" w:rsidRDefault="00A86266" w:rsidP="00CF4C4E">
            <w:pPr>
              <w:tabs>
                <w:tab w:val="left" w:pos="1940"/>
              </w:tabs>
              <w:rPr>
                <w:sz w:val="20"/>
                <w:szCs w:val="20"/>
                <w:lang w:val="en-GB"/>
              </w:rPr>
            </w:pPr>
            <w:r w:rsidRPr="00CF4C4E">
              <w:rPr>
                <w:sz w:val="20"/>
                <w:szCs w:val="20"/>
                <w:lang w:val="en-GB"/>
              </w:rPr>
              <w:t>Unit of measurement</w:t>
            </w:r>
          </w:p>
        </w:tc>
        <w:tc>
          <w:tcPr>
            <w:tcW w:w="1842" w:type="dxa"/>
            <w:gridSpan w:val="2"/>
            <w:tcBorders>
              <w:top w:val="double" w:sz="4" w:space="0" w:color="auto"/>
            </w:tcBorders>
            <w:shd w:val="clear" w:color="auto" w:fill="D9D9D9" w:themeFill="background1" w:themeFillShade="D9"/>
          </w:tcPr>
          <w:p w:rsidR="00A86266" w:rsidRPr="00CF4C4E" w:rsidRDefault="00A86266" w:rsidP="00CF4C4E">
            <w:pPr>
              <w:tabs>
                <w:tab w:val="left" w:pos="1940"/>
              </w:tabs>
              <w:rPr>
                <w:sz w:val="20"/>
                <w:szCs w:val="20"/>
                <w:lang w:val="en-GB"/>
              </w:rPr>
            </w:pPr>
            <w:r w:rsidRPr="00CF4C4E">
              <w:rPr>
                <w:sz w:val="20"/>
                <w:szCs w:val="20"/>
                <w:lang w:val="en-GB"/>
              </w:rPr>
              <w:t>Source of verification</w:t>
            </w:r>
          </w:p>
        </w:tc>
        <w:tc>
          <w:tcPr>
            <w:tcW w:w="1134" w:type="dxa"/>
            <w:tcBorders>
              <w:top w:val="double" w:sz="4" w:space="0" w:color="auto"/>
            </w:tcBorders>
            <w:shd w:val="clear" w:color="auto" w:fill="D9D9D9" w:themeFill="background1" w:themeFillShade="D9"/>
          </w:tcPr>
          <w:p w:rsidR="00A86266" w:rsidRPr="00CF4C4E" w:rsidRDefault="00A86266" w:rsidP="00CF4C4E">
            <w:pPr>
              <w:tabs>
                <w:tab w:val="left" w:pos="1940"/>
              </w:tabs>
              <w:rPr>
                <w:sz w:val="20"/>
                <w:szCs w:val="20"/>
                <w:lang w:val="en-GB"/>
              </w:rPr>
            </w:pPr>
            <w:r w:rsidRPr="00CF4C4E">
              <w:rPr>
                <w:sz w:val="20"/>
                <w:szCs w:val="20"/>
                <w:lang w:val="en-GB"/>
              </w:rPr>
              <w:t xml:space="preserve">Base value </w:t>
            </w:r>
          </w:p>
        </w:tc>
        <w:tc>
          <w:tcPr>
            <w:tcW w:w="1134" w:type="dxa"/>
            <w:tcBorders>
              <w:top w:val="double" w:sz="4" w:space="0" w:color="auto"/>
            </w:tcBorders>
            <w:shd w:val="clear" w:color="auto" w:fill="D9D9D9" w:themeFill="background1" w:themeFillShade="D9"/>
          </w:tcPr>
          <w:p w:rsidR="00A86266" w:rsidRPr="00CF4C4E" w:rsidRDefault="00A86266" w:rsidP="00CF4C4E">
            <w:pPr>
              <w:tabs>
                <w:tab w:val="left" w:pos="1940"/>
              </w:tabs>
              <w:rPr>
                <w:sz w:val="20"/>
                <w:szCs w:val="20"/>
                <w:lang w:val="en-GB"/>
              </w:rPr>
            </w:pPr>
            <w:r w:rsidRPr="00CF4C4E">
              <w:rPr>
                <w:sz w:val="20"/>
                <w:szCs w:val="20"/>
                <w:lang w:val="en-GB"/>
              </w:rPr>
              <w:t>Base year</w:t>
            </w:r>
          </w:p>
        </w:tc>
        <w:tc>
          <w:tcPr>
            <w:tcW w:w="1560" w:type="dxa"/>
            <w:tcBorders>
              <w:top w:val="double" w:sz="4" w:space="0" w:color="auto"/>
            </w:tcBorders>
            <w:shd w:val="clear" w:color="auto" w:fill="D9D9D9" w:themeFill="background1" w:themeFillShade="D9"/>
          </w:tcPr>
          <w:p w:rsidR="00A86266" w:rsidRPr="00CF4C4E" w:rsidRDefault="00A86266" w:rsidP="00CF4C4E">
            <w:pPr>
              <w:rPr>
                <w:sz w:val="20"/>
                <w:szCs w:val="20"/>
                <w:lang w:val="en-GB"/>
              </w:rPr>
            </w:pPr>
            <w:r w:rsidRPr="00CF4C4E">
              <w:rPr>
                <w:sz w:val="20"/>
                <w:szCs w:val="20"/>
                <w:lang w:val="en-GB"/>
              </w:rPr>
              <w:t>Target value in 2020</w:t>
            </w:r>
          </w:p>
        </w:tc>
        <w:tc>
          <w:tcPr>
            <w:tcW w:w="1275" w:type="dxa"/>
            <w:tcBorders>
              <w:top w:val="double" w:sz="4" w:space="0" w:color="auto"/>
              <w:right w:val="double" w:sz="4" w:space="0" w:color="auto"/>
            </w:tcBorders>
            <w:shd w:val="clear" w:color="auto" w:fill="D9D9D9" w:themeFill="background1" w:themeFillShade="D9"/>
          </w:tcPr>
          <w:p w:rsidR="00A86266" w:rsidRPr="00CF4C4E" w:rsidRDefault="00A86266" w:rsidP="00CF4C4E">
            <w:pPr>
              <w:rPr>
                <w:sz w:val="20"/>
                <w:szCs w:val="20"/>
                <w:lang w:val="en-GB"/>
              </w:rPr>
            </w:pPr>
            <w:r w:rsidRPr="00CF4C4E">
              <w:rPr>
                <w:sz w:val="20"/>
                <w:szCs w:val="20"/>
                <w:lang w:val="en-GB"/>
              </w:rPr>
              <w:t>Target value in 2021</w:t>
            </w:r>
          </w:p>
        </w:tc>
        <w:tc>
          <w:tcPr>
            <w:tcW w:w="1560" w:type="dxa"/>
            <w:tcBorders>
              <w:top w:val="double" w:sz="4" w:space="0" w:color="auto"/>
              <w:right w:val="double" w:sz="4" w:space="0" w:color="auto"/>
            </w:tcBorders>
            <w:shd w:val="clear" w:color="auto" w:fill="D9D9D9" w:themeFill="background1" w:themeFillShade="D9"/>
          </w:tcPr>
          <w:p w:rsidR="00A86266" w:rsidRPr="00CF4C4E" w:rsidRDefault="00885F9C" w:rsidP="00CF4C4E">
            <w:pPr>
              <w:rPr>
                <w:sz w:val="20"/>
                <w:szCs w:val="20"/>
                <w:lang w:val="en-GB"/>
              </w:rPr>
            </w:pPr>
            <w:r w:rsidRPr="00CF4C4E">
              <w:rPr>
                <w:sz w:val="20"/>
                <w:szCs w:val="20"/>
                <w:lang w:val="en-GB"/>
              </w:rPr>
              <w:t>Target value in 2022</w:t>
            </w:r>
          </w:p>
        </w:tc>
      </w:tr>
      <w:tr w:rsidR="00863A32" w:rsidRPr="00CF4C4E" w:rsidTr="00CF4C4E">
        <w:trPr>
          <w:trHeight w:val="304"/>
        </w:trPr>
        <w:tc>
          <w:tcPr>
            <w:tcW w:w="4067" w:type="dxa"/>
            <w:tcBorders>
              <w:top w:val="double" w:sz="4" w:space="0" w:color="auto"/>
              <w:bottom w:val="double" w:sz="4" w:space="0" w:color="auto"/>
            </w:tcBorders>
            <w:shd w:val="clear" w:color="auto" w:fill="FFFFFF" w:themeFill="background1"/>
          </w:tcPr>
          <w:p w:rsidR="00863A32" w:rsidRPr="00CF4C4E" w:rsidRDefault="00497A27" w:rsidP="00CF4C4E">
            <w:pPr>
              <w:tabs>
                <w:tab w:val="left" w:pos="1940"/>
              </w:tabs>
              <w:rPr>
                <w:color w:val="FF0000"/>
                <w:sz w:val="20"/>
                <w:szCs w:val="20"/>
                <w:highlight w:val="yellow"/>
                <w:lang w:val="en-GB"/>
              </w:rPr>
            </w:pPr>
            <w:r w:rsidRPr="00CF4C4E">
              <w:rPr>
                <w:color w:val="auto"/>
                <w:sz w:val="20"/>
                <w:szCs w:val="20"/>
                <w:lang w:val="en-GB"/>
              </w:rPr>
              <w:t>Progress in meeting the requirements of international standards related to the imposition of effective, proportionate and deterring sanctions for money laundering, annually</w:t>
            </w:r>
          </w:p>
        </w:tc>
        <w:tc>
          <w:tcPr>
            <w:tcW w:w="1560" w:type="dxa"/>
            <w:tcBorders>
              <w:top w:val="double" w:sz="4" w:space="0" w:color="auto"/>
              <w:bottom w:val="double" w:sz="4" w:space="0" w:color="auto"/>
            </w:tcBorders>
            <w:shd w:val="clear" w:color="auto" w:fill="FFFFFF" w:themeFill="background1"/>
          </w:tcPr>
          <w:p w:rsidR="00863A32" w:rsidRPr="00CF4C4E" w:rsidRDefault="00BE642B" w:rsidP="00CF4C4E">
            <w:pPr>
              <w:tabs>
                <w:tab w:val="left" w:pos="1940"/>
              </w:tabs>
              <w:rPr>
                <w:sz w:val="20"/>
                <w:szCs w:val="20"/>
                <w:lang w:val="en-GB"/>
              </w:rPr>
            </w:pPr>
            <w:r w:rsidRPr="00CF4C4E">
              <w:rPr>
                <w:sz w:val="20"/>
                <w:szCs w:val="20"/>
                <w:lang w:val="en-GB"/>
              </w:rPr>
              <w:t>Yes/No</w:t>
            </w:r>
          </w:p>
        </w:tc>
        <w:tc>
          <w:tcPr>
            <w:tcW w:w="1842" w:type="dxa"/>
            <w:gridSpan w:val="2"/>
            <w:tcBorders>
              <w:top w:val="double" w:sz="4" w:space="0" w:color="auto"/>
              <w:bottom w:val="double" w:sz="4" w:space="0" w:color="auto"/>
            </w:tcBorders>
            <w:shd w:val="clear" w:color="auto" w:fill="FFFFFF" w:themeFill="background1"/>
          </w:tcPr>
          <w:p w:rsidR="00863A32" w:rsidRPr="00CF4C4E" w:rsidRDefault="00520B00" w:rsidP="00CF4C4E">
            <w:pPr>
              <w:tabs>
                <w:tab w:val="left" w:pos="1940"/>
              </w:tabs>
              <w:rPr>
                <w:sz w:val="20"/>
                <w:szCs w:val="20"/>
                <w:lang w:val="en-GB"/>
              </w:rPr>
            </w:pPr>
            <w:r w:rsidRPr="00CF4C4E">
              <w:rPr>
                <w:sz w:val="20"/>
                <w:szCs w:val="20"/>
                <w:lang w:val="en-GB"/>
              </w:rPr>
              <w:t>Progress reports by competent authorities; Moneyval report</w:t>
            </w:r>
          </w:p>
        </w:tc>
        <w:tc>
          <w:tcPr>
            <w:tcW w:w="1134" w:type="dxa"/>
            <w:tcBorders>
              <w:top w:val="double" w:sz="4" w:space="0" w:color="auto"/>
              <w:bottom w:val="double" w:sz="4" w:space="0" w:color="auto"/>
            </w:tcBorders>
            <w:shd w:val="clear" w:color="auto" w:fill="FFFFFF" w:themeFill="background1"/>
          </w:tcPr>
          <w:p w:rsidR="00863A32" w:rsidRPr="00CF4C4E" w:rsidRDefault="00497A27" w:rsidP="00CF4C4E">
            <w:pPr>
              <w:tabs>
                <w:tab w:val="left" w:pos="1940"/>
              </w:tabs>
              <w:rPr>
                <w:sz w:val="20"/>
                <w:szCs w:val="20"/>
                <w:lang w:val="en-GB"/>
              </w:rPr>
            </w:pPr>
            <w:r w:rsidRPr="00CF4C4E">
              <w:rPr>
                <w:sz w:val="20"/>
                <w:szCs w:val="20"/>
                <w:lang w:val="en-GB"/>
              </w:rPr>
              <w:t>Yes.</w:t>
            </w:r>
          </w:p>
        </w:tc>
        <w:tc>
          <w:tcPr>
            <w:tcW w:w="1134" w:type="dxa"/>
            <w:tcBorders>
              <w:top w:val="double" w:sz="4" w:space="0" w:color="auto"/>
              <w:bottom w:val="double" w:sz="4" w:space="0" w:color="auto"/>
            </w:tcBorders>
            <w:shd w:val="clear" w:color="auto" w:fill="FFFFFF" w:themeFill="background1"/>
          </w:tcPr>
          <w:p w:rsidR="00863A32" w:rsidRPr="00CF4C4E" w:rsidRDefault="00497A27" w:rsidP="00CF4C4E">
            <w:pPr>
              <w:tabs>
                <w:tab w:val="left" w:pos="1940"/>
              </w:tabs>
              <w:rPr>
                <w:sz w:val="20"/>
                <w:szCs w:val="20"/>
                <w:lang w:val="en-GB"/>
              </w:rPr>
            </w:pPr>
            <w:r w:rsidRPr="00CF4C4E">
              <w:rPr>
                <w:sz w:val="20"/>
                <w:szCs w:val="20"/>
                <w:lang w:val="en-GB"/>
              </w:rPr>
              <w:t>2019</w:t>
            </w:r>
          </w:p>
        </w:tc>
        <w:tc>
          <w:tcPr>
            <w:tcW w:w="1560" w:type="dxa"/>
            <w:tcBorders>
              <w:top w:val="double" w:sz="4" w:space="0" w:color="auto"/>
              <w:bottom w:val="double" w:sz="4" w:space="0" w:color="auto"/>
            </w:tcBorders>
            <w:shd w:val="clear" w:color="auto" w:fill="FFFFFF" w:themeFill="background1"/>
          </w:tcPr>
          <w:p w:rsidR="00863A32" w:rsidRPr="00CF4C4E" w:rsidRDefault="00A12AA6" w:rsidP="00CF4C4E">
            <w:pPr>
              <w:tabs>
                <w:tab w:val="left" w:pos="1940"/>
              </w:tabs>
              <w:rPr>
                <w:sz w:val="20"/>
                <w:szCs w:val="20"/>
                <w:lang w:val="en-GB"/>
              </w:rPr>
            </w:pPr>
            <w:r w:rsidRPr="00CF4C4E">
              <w:rPr>
                <w:sz w:val="20"/>
                <w:szCs w:val="20"/>
                <w:lang w:val="en-GB"/>
              </w:rPr>
              <w:t>Yes.</w:t>
            </w:r>
          </w:p>
        </w:tc>
        <w:tc>
          <w:tcPr>
            <w:tcW w:w="1275" w:type="dxa"/>
            <w:tcBorders>
              <w:top w:val="double" w:sz="4" w:space="0" w:color="auto"/>
              <w:bottom w:val="double" w:sz="4" w:space="0" w:color="auto"/>
              <w:right w:val="double" w:sz="4" w:space="0" w:color="auto"/>
            </w:tcBorders>
            <w:shd w:val="clear" w:color="auto" w:fill="FFFFFF" w:themeFill="background1"/>
          </w:tcPr>
          <w:p w:rsidR="00863A32" w:rsidRPr="00CF4C4E" w:rsidRDefault="00A12AA6" w:rsidP="00CF4C4E">
            <w:pPr>
              <w:tabs>
                <w:tab w:val="left" w:pos="1940"/>
              </w:tabs>
              <w:rPr>
                <w:sz w:val="20"/>
                <w:szCs w:val="20"/>
                <w:lang w:val="en-GB"/>
              </w:rPr>
            </w:pPr>
            <w:r w:rsidRPr="00CF4C4E">
              <w:rPr>
                <w:sz w:val="20"/>
                <w:szCs w:val="20"/>
                <w:lang w:val="en-GB"/>
              </w:rPr>
              <w:t>Yes.</w:t>
            </w:r>
          </w:p>
        </w:tc>
        <w:tc>
          <w:tcPr>
            <w:tcW w:w="1560" w:type="dxa"/>
            <w:tcBorders>
              <w:top w:val="double" w:sz="4" w:space="0" w:color="auto"/>
              <w:bottom w:val="double" w:sz="4" w:space="0" w:color="auto"/>
              <w:right w:val="double" w:sz="4" w:space="0" w:color="auto"/>
            </w:tcBorders>
            <w:shd w:val="clear" w:color="auto" w:fill="FFFFFF" w:themeFill="background1"/>
          </w:tcPr>
          <w:p w:rsidR="00863A32" w:rsidRPr="00CF4C4E" w:rsidRDefault="00A12AA6" w:rsidP="00CF4C4E">
            <w:pPr>
              <w:tabs>
                <w:tab w:val="left" w:pos="1940"/>
              </w:tabs>
              <w:rPr>
                <w:sz w:val="20"/>
                <w:szCs w:val="20"/>
                <w:lang w:val="en-GB"/>
              </w:rPr>
            </w:pPr>
            <w:r w:rsidRPr="00CF4C4E">
              <w:rPr>
                <w:sz w:val="20"/>
                <w:szCs w:val="20"/>
                <w:lang w:val="en-GB"/>
              </w:rPr>
              <w:t>Yes.</w:t>
            </w:r>
          </w:p>
        </w:tc>
      </w:tr>
    </w:tbl>
    <w:p w:rsidR="00863A32" w:rsidRPr="00CF4C4E" w:rsidRDefault="00863A32" w:rsidP="00CF4C4E">
      <w:pPr>
        <w:tabs>
          <w:tab w:val="left" w:pos="1940"/>
        </w:tabs>
        <w:rPr>
          <w:sz w:val="20"/>
          <w:szCs w:val="20"/>
          <w:lang w:val="en-GB"/>
        </w:rPr>
      </w:pPr>
    </w:p>
    <w:tbl>
      <w:tblPr>
        <w:tblStyle w:val="TableGrid"/>
        <w:tblW w:w="4990" w:type="pct"/>
        <w:tblLayout w:type="fixed"/>
        <w:tblLook w:val="04A0"/>
      </w:tblPr>
      <w:tblGrid>
        <w:gridCol w:w="2653"/>
        <w:gridCol w:w="1268"/>
        <w:gridCol w:w="1372"/>
        <w:gridCol w:w="1285"/>
        <w:gridCol w:w="1740"/>
        <w:gridCol w:w="1282"/>
        <w:gridCol w:w="1556"/>
        <w:gridCol w:w="1466"/>
        <w:gridCol w:w="1525"/>
      </w:tblGrid>
      <w:tr w:rsidR="00863A32" w:rsidRPr="00CF4C4E" w:rsidTr="00C11F8E">
        <w:trPr>
          <w:trHeight w:val="140"/>
          <w:tblHeader/>
        </w:trPr>
        <w:tc>
          <w:tcPr>
            <w:tcW w:w="938" w:type="pct"/>
            <w:vMerge w:val="restart"/>
            <w:tcBorders>
              <w:top w:val="double" w:sz="4" w:space="0" w:color="auto"/>
              <w:left w:val="double" w:sz="4" w:space="0" w:color="auto"/>
            </w:tcBorders>
            <w:shd w:val="clear" w:color="auto" w:fill="E5DFEC" w:themeFill="accent4" w:themeFillTint="33"/>
          </w:tcPr>
          <w:p w:rsidR="00863A32" w:rsidRPr="00CF4C4E" w:rsidRDefault="00863A32" w:rsidP="00CF4C4E">
            <w:pPr>
              <w:tabs>
                <w:tab w:val="left" w:pos="1940"/>
              </w:tabs>
              <w:rPr>
                <w:b/>
                <w:sz w:val="20"/>
                <w:szCs w:val="20"/>
                <w:lang w:val="en-GB"/>
              </w:rPr>
            </w:pPr>
            <w:r w:rsidRPr="00CF4C4E">
              <w:rPr>
                <w:b/>
                <w:bCs/>
                <w:sz w:val="20"/>
                <w:szCs w:val="20"/>
                <w:lang w:val="en-GB"/>
              </w:rPr>
              <w:t>Activity title:</w:t>
            </w:r>
          </w:p>
        </w:tc>
        <w:tc>
          <w:tcPr>
            <w:tcW w:w="448" w:type="pct"/>
            <w:vMerge w:val="restart"/>
            <w:tcBorders>
              <w:top w:val="double" w:sz="4" w:space="0" w:color="auto"/>
            </w:tcBorders>
            <w:shd w:val="clear" w:color="auto" w:fill="E5DFEC" w:themeFill="accent4" w:themeFillTint="33"/>
          </w:tcPr>
          <w:p w:rsidR="00863A32" w:rsidRPr="00CF4C4E" w:rsidRDefault="00863A32" w:rsidP="00CF4C4E">
            <w:pPr>
              <w:tabs>
                <w:tab w:val="left" w:pos="1940"/>
              </w:tabs>
              <w:rPr>
                <w:b/>
                <w:sz w:val="20"/>
                <w:szCs w:val="20"/>
                <w:lang w:val="en-GB"/>
              </w:rPr>
            </w:pPr>
            <w:r w:rsidRPr="00CF4C4E">
              <w:rPr>
                <w:b/>
                <w:bCs/>
                <w:sz w:val="20"/>
                <w:szCs w:val="20"/>
                <w:lang w:val="en-GB"/>
              </w:rPr>
              <w:t>Authority implementing the activity</w:t>
            </w:r>
          </w:p>
        </w:tc>
        <w:tc>
          <w:tcPr>
            <w:tcW w:w="485" w:type="pct"/>
            <w:vMerge w:val="restart"/>
            <w:tcBorders>
              <w:top w:val="double" w:sz="4" w:space="0" w:color="auto"/>
            </w:tcBorders>
            <w:shd w:val="clear" w:color="auto" w:fill="E5DFEC" w:themeFill="accent4" w:themeFillTint="33"/>
          </w:tcPr>
          <w:p w:rsidR="00863A32" w:rsidRPr="00CF4C4E" w:rsidRDefault="00863A32" w:rsidP="00CF4C4E">
            <w:pPr>
              <w:tabs>
                <w:tab w:val="left" w:pos="1940"/>
              </w:tabs>
              <w:rPr>
                <w:b/>
                <w:sz w:val="20"/>
                <w:szCs w:val="20"/>
                <w:lang w:val="en-GB"/>
              </w:rPr>
            </w:pPr>
            <w:r w:rsidRPr="00CF4C4E">
              <w:rPr>
                <w:b/>
                <w:bCs/>
                <w:sz w:val="20"/>
                <w:szCs w:val="20"/>
                <w:lang w:val="en-GB"/>
              </w:rPr>
              <w:t>Partners in the implementation of the activity</w:t>
            </w:r>
          </w:p>
        </w:tc>
        <w:tc>
          <w:tcPr>
            <w:tcW w:w="454" w:type="pct"/>
            <w:vMerge w:val="restart"/>
            <w:tcBorders>
              <w:top w:val="double" w:sz="4" w:space="0" w:color="auto"/>
            </w:tcBorders>
            <w:shd w:val="clear" w:color="auto" w:fill="E5DFEC" w:themeFill="accent4" w:themeFillTint="33"/>
          </w:tcPr>
          <w:p w:rsidR="00863A32" w:rsidRPr="00CF4C4E" w:rsidRDefault="00863A32" w:rsidP="00CF4C4E">
            <w:pPr>
              <w:tabs>
                <w:tab w:val="left" w:pos="1940"/>
              </w:tabs>
              <w:rPr>
                <w:b/>
                <w:sz w:val="20"/>
                <w:szCs w:val="20"/>
                <w:lang w:val="en-GB"/>
              </w:rPr>
            </w:pPr>
            <w:r w:rsidRPr="00CF4C4E">
              <w:rPr>
                <w:b/>
                <w:bCs/>
                <w:sz w:val="20"/>
                <w:szCs w:val="20"/>
                <w:lang w:val="en-GB"/>
              </w:rPr>
              <w:t>Deadline for completion of activity</w:t>
            </w:r>
          </w:p>
        </w:tc>
        <w:tc>
          <w:tcPr>
            <w:tcW w:w="615" w:type="pct"/>
            <w:vMerge w:val="restart"/>
            <w:tcBorders>
              <w:top w:val="double" w:sz="4" w:space="0" w:color="auto"/>
            </w:tcBorders>
            <w:shd w:val="clear" w:color="auto" w:fill="E5DFEC" w:themeFill="accent4" w:themeFillTint="33"/>
          </w:tcPr>
          <w:p w:rsidR="00863A32" w:rsidRPr="00CF4C4E" w:rsidRDefault="00863A32" w:rsidP="00CF4C4E">
            <w:pPr>
              <w:tabs>
                <w:tab w:val="left" w:pos="1940"/>
              </w:tabs>
              <w:rPr>
                <w:b/>
                <w:sz w:val="20"/>
                <w:szCs w:val="20"/>
                <w:lang w:val="en-GB"/>
              </w:rPr>
            </w:pPr>
            <w:r w:rsidRPr="00CF4C4E">
              <w:rPr>
                <w:b/>
                <w:bCs/>
                <w:sz w:val="20"/>
                <w:szCs w:val="20"/>
                <w:lang w:val="en-GB"/>
              </w:rPr>
              <w:t>Source of financing</w:t>
            </w:r>
          </w:p>
        </w:tc>
        <w:tc>
          <w:tcPr>
            <w:tcW w:w="453" w:type="pct"/>
            <w:vMerge w:val="restart"/>
            <w:tcBorders>
              <w:top w:val="double" w:sz="4" w:space="0" w:color="auto"/>
            </w:tcBorders>
            <w:shd w:val="clear" w:color="auto" w:fill="E5DFEC" w:themeFill="accent4" w:themeFillTint="33"/>
          </w:tcPr>
          <w:p w:rsidR="00863A32" w:rsidRPr="00CF4C4E" w:rsidRDefault="00863A32" w:rsidP="00CF4C4E">
            <w:pPr>
              <w:tabs>
                <w:tab w:val="left" w:pos="1940"/>
              </w:tabs>
              <w:rPr>
                <w:b/>
                <w:sz w:val="20"/>
                <w:szCs w:val="20"/>
                <w:lang w:val="en-GB"/>
              </w:rPr>
            </w:pPr>
            <w:r w:rsidRPr="00CF4C4E">
              <w:rPr>
                <w:b/>
                <w:bCs/>
                <w:sz w:val="20"/>
                <w:szCs w:val="20"/>
                <w:lang w:val="en-GB"/>
              </w:rPr>
              <w:t>Link to programme budget</w:t>
            </w:r>
          </w:p>
          <w:p w:rsidR="00863A32" w:rsidRPr="00CF4C4E" w:rsidRDefault="00863A32" w:rsidP="00CF4C4E">
            <w:pPr>
              <w:tabs>
                <w:tab w:val="left" w:pos="1940"/>
              </w:tabs>
              <w:rPr>
                <w:b/>
                <w:sz w:val="20"/>
                <w:szCs w:val="20"/>
                <w:lang w:val="en-GB"/>
              </w:rPr>
            </w:pPr>
          </w:p>
        </w:tc>
        <w:tc>
          <w:tcPr>
            <w:tcW w:w="1607" w:type="pct"/>
            <w:gridSpan w:val="3"/>
            <w:tcBorders>
              <w:top w:val="double" w:sz="4" w:space="0" w:color="auto"/>
            </w:tcBorders>
            <w:shd w:val="clear" w:color="auto" w:fill="E5DFEC" w:themeFill="accent4" w:themeFillTint="33"/>
          </w:tcPr>
          <w:p w:rsidR="00863A32" w:rsidRPr="00CF4C4E" w:rsidRDefault="00863A32" w:rsidP="00CF4C4E">
            <w:pPr>
              <w:tabs>
                <w:tab w:val="left" w:pos="1940"/>
              </w:tabs>
              <w:rPr>
                <w:b/>
                <w:sz w:val="20"/>
                <w:szCs w:val="20"/>
                <w:lang w:val="en-GB"/>
              </w:rPr>
            </w:pPr>
            <w:r w:rsidRPr="00CF4C4E">
              <w:rPr>
                <w:b/>
                <w:bCs/>
                <w:sz w:val="20"/>
                <w:szCs w:val="20"/>
                <w:lang w:val="en-GB"/>
              </w:rPr>
              <w:t>Total assessed financial resources by source in RSD 000</w:t>
            </w:r>
          </w:p>
        </w:tc>
      </w:tr>
      <w:tr w:rsidR="00863A32" w:rsidRPr="00CF4C4E" w:rsidTr="00C11F8E">
        <w:trPr>
          <w:trHeight w:val="386"/>
          <w:tblHeader/>
        </w:trPr>
        <w:tc>
          <w:tcPr>
            <w:tcW w:w="938" w:type="pct"/>
            <w:vMerge/>
            <w:tcBorders>
              <w:left w:val="double" w:sz="4" w:space="0" w:color="auto"/>
            </w:tcBorders>
            <w:shd w:val="clear" w:color="auto" w:fill="E5DFEC" w:themeFill="accent4" w:themeFillTint="33"/>
          </w:tcPr>
          <w:p w:rsidR="00863A32" w:rsidRPr="00CF4C4E" w:rsidRDefault="00863A32" w:rsidP="00CF4C4E">
            <w:pPr>
              <w:tabs>
                <w:tab w:val="left" w:pos="1940"/>
              </w:tabs>
              <w:rPr>
                <w:sz w:val="20"/>
                <w:szCs w:val="20"/>
                <w:lang w:val="en-GB"/>
              </w:rPr>
            </w:pPr>
          </w:p>
        </w:tc>
        <w:tc>
          <w:tcPr>
            <w:tcW w:w="448" w:type="pct"/>
            <w:vMerge/>
            <w:shd w:val="clear" w:color="auto" w:fill="E5DFEC" w:themeFill="accent4" w:themeFillTint="33"/>
          </w:tcPr>
          <w:p w:rsidR="00863A32" w:rsidRPr="00CF4C4E" w:rsidRDefault="00863A32" w:rsidP="00CF4C4E">
            <w:pPr>
              <w:tabs>
                <w:tab w:val="left" w:pos="1940"/>
              </w:tabs>
              <w:rPr>
                <w:sz w:val="20"/>
                <w:szCs w:val="20"/>
                <w:lang w:val="en-GB"/>
              </w:rPr>
            </w:pPr>
          </w:p>
        </w:tc>
        <w:tc>
          <w:tcPr>
            <w:tcW w:w="485" w:type="pct"/>
            <w:vMerge/>
            <w:shd w:val="clear" w:color="auto" w:fill="E5DFEC" w:themeFill="accent4" w:themeFillTint="33"/>
          </w:tcPr>
          <w:p w:rsidR="00863A32" w:rsidRPr="00CF4C4E" w:rsidRDefault="00863A32" w:rsidP="00CF4C4E">
            <w:pPr>
              <w:tabs>
                <w:tab w:val="left" w:pos="1940"/>
              </w:tabs>
              <w:rPr>
                <w:sz w:val="20"/>
                <w:szCs w:val="20"/>
                <w:lang w:val="en-GB"/>
              </w:rPr>
            </w:pPr>
          </w:p>
        </w:tc>
        <w:tc>
          <w:tcPr>
            <w:tcW w:w="454" w:type="pct"/>
            <w:vMerge/>
            <w:shd w:val="clear" w:color="auto" w:fill="E5DFEC" w:themeFill="accent4" w:themeFillTint="33"/>
          </w:tcPr>
          <w:p w:rsidR="00863A32" w:rsidRPr="00CF4C4E" w:rsidRDefault="00863A32" w:rsidP="00CF4C4E">
            <w:pPr>
              <w:tabs>
                <w:tab w:val="left" w:pos="1940"/>
              </w:tabs>
              <w:rPr>
                <w:sz w:val="20"/>
                <w:szCs w:val="20"/>
                <w:lang w:val="en-GB"/>
              </w:rPr>
            </w:pPr>
          </w:p>
        </w:tc>
        <w:tc>
          <w:tcPr>
            <w:tcW w:w="615" w:type="pct"/>
            <w:vMerge/>
            <w:shd w:val="clear" w:color="auto" w:fill="E5DFEC" w:themeFill="accent4" w:themeFillTint="33"/>
          </w:tcPr>
          <w:p w:rsidR="00863A32" w:rsidRPr="00CF4C4E" w:rsidRDefault="00863A32" w:rsidP="00CF4C4E">
            <w:pPr>
              <w:tabs>
                <w:tab w:val="left" w:pos="1940"/>
              </w:tabs>
              <w:rPr>
                <w:sz w:val="20"/>
                <w:szCs w:val="20"/>
                <w:lang w:val="en-GB"/>
              </w:rPr>
            </w:pPr>
          </w:p>
        </w:tc>
        <w:tc>
          <w:tcPr>
            <w:tcW w:w="453" w:type="pct"/>
            <w:vMerge/>
            <w:shd w:val="clear" w:color="auto" w:fill="E5DFEC" w:themeFill="accent4" w:themeFillTint="33"/>
          </w:tcPr>
          <w:p w:rsidR="00863A32" w:rsidRPr="00CF4C4E" w:rsidRDefault="00863A32" w:rsidP="00CF4C4E">
            <w:pPr>
              <w:tabs>
                <w:tab w:val="left" w:pos="1940"/>
              </w:tabs>
              <w:rPr>
                <w:sz w:val="20"/>
                <w:szCs w:val="20"/>
                <w:lang w:val="en-GB"/>
              </w:rPr>
            </w:pPr>
          </w:p>
        </w:tc>
        <w:tc>
          <w:tcPr>
            <w:tcW w:w="550" w:type="pct"/>
            <w:shd w:val="clear" w:color="auto" w:fill="E5DFEC" w:themeFill="accent4" w:themeFillTint="33"/>
          </w:tcPr>
          <w:p w:rsidR="00863A32" w:rsidRPr="00CF4C4E" w:rsidRDefault="00863A32" w:rsidP="00CF4C4E">
            <w:pPr>
              <w:tabs>
                <w:tab w:val="left" w:pos="1940"/>
              </w:tabs>
              <w:rPr>
                <w:b/>
                <w:sz w:val="20"/>
                <w:szCs w:val="20"/>
                <w:lang w:val="en-GB"/>
              </w:rPr>
            </w:pPr>
            <w:r w:rsidRPr="00CF4C4E">
              <w:rPr>
                <w:b/>
                <w:bCs/>
                <w:sz w:val="20"/>
                <w:szCs w:val="20"/>
                <w:lang w:val="en-GB"/>
              </w:rPr>
              <w:t>2019</w:t>
            </w:r>
          </w:p>
        </w:tc>
        <w:tc>
          <w:tcPr>
            <w:tcW w:w="518" w:type="pct"/>
            <w:shd w:val="clear" w:color="auto" w:fill="E5DFEC" w:themeFill="accent4" w:themeFillTint="33"/>
          </w:tcPr>
          <w:p w:rsidR="00863A32" w:rsidRPr="00CF4C4E" w:rsidRDefault="00863A32" w:rsidP="00CF4C4E">
            <w:pPr>
              <w:tabs>
                <w:tab w:val="left" w:pos="1940"/>
              </w:tabs>
              <w:rPr>
                <w:b/>
                <w:sz w:val="20"/>
                <w:szCs w:val="20"/>
                <w:lang w:val="en-GB"/>
              </w:rPr>
            </w:pPr>
            <w:r w:rsidRPr="00CF4C4E">
              <w:rPr>
                <w:b/>
                <w:bCs/>
                <w:sz w:val="20"/>
                <w:szCs w:val="20"/>
                <w:lang w:val="en-GB"/>
              </w:rPr>
              <w:t>2020</w:t>
            </w:r>
          </w:p>
        </w:tc>
        <w:tc>
          <w:tcPr>
            <w:tcW w:w="539" w:type="pct"/>
            <w:shd w:val="clear" w:color="auto" w:fill="E5DFEC" w:themeFill="accent4" w:themeFillTint="33"/>
          </w:tcPr>
          <w:p w:rsidR="00863A32" w:rsidRPr="00CF4C4E" w:rsidRDefault="00863A32" w:rsidP="00CF4C4E">
            <w:pPr>
              <w:tabs>
                <w:tab w:val="left" w:pos="1940"/>
              </w:tabs>
              <w:rPr>
                <w:b/>
                <w:sz w:val="20"/>
                <w:szCs w:val="20"/>
                <w:lang w:val="en-GB"/>
              </w:rPr>
            </w:pPr>
            <w:r w:rsidRPr="00CF4C4E">
              <w:rPr>
                <w:b/>
                <w:bCs/>
                <w:sz w:val="20"/>
                <w:szCs w:val="20"/>
                <w:lang w:val="en-GB"/>
              </w:rPr>
              <w:t>2021</w:t>
            </w:r>
          </w:p>
        </w:tc>
      </w:tr>
      <w:tr w:rsidR="00557B42" w:rsidRPr="00CF4C4E" w:rsidTr="00CF4C4E">
        <w:trPr>
          <w:trHeight w:val="1625"/>
          <w:tblHeader/>
        </w:trPr>
        <w:tc>
          <w:tcPr>
            <w:tcW w:w="938" w:type="pct"/>
            <w:tcBorders>
              <w:left w:val="double" w:sz="4" w:space="0" w:color="auto"/>
            </w:tcBorders>
          </w:tcPr>
          <w:p w:rsidR="00557B42" w:rsidRPr="00CF4C4E" w:rsidRDefault="00557B42" w:rsidP="00CF4C4E">
            <w:pPr>
              <w:tabs>
                <w:tab w:val="left" w:pos="1940"/>
              </w:tabs>
              <w:rPr>
                <w:sz w:val="20"/>
                <w:szCs w:val="20"/>
                <w:lang w:val="en-GB"/>
              </w:rPr>
            </w:pPr>
            <w:r w:rsidRPr="00CF4C4E">
              <w:rPr>
                <w:sz w:val="20"/>
                <w:szCs w:val="20"/>
                <w:lang w:val="en-GB"/>
              </w:rPr>
              <w:t xml:space="preserve">3.2.1. Continuous basic and advanced training of judges for effective handling of main hearings, imposition of effective criminal sanctions in money laundering proceedings </w:t>
            </w:r>
          </w:p>
        </w:tc>
        <w:tc>
          <w:tcPr>
            <w:tcW w:w="448" w:type="pct"/>
          </w:tcPr>
          <w:p w:rsidR="00557B42" w:rsidRPr="00CF4C4E" w:rsidRDefault="00F3347F" w:rsidP="00CF4C4E">
            <w:pPr>
              <w:tabs>
                <w:tab w:val="left" w:pos="1940"/>
              </w:tabs>
              <w:rPr>
                <w:iCs/>
                <w:sz w:val="20"/>
                <w:szCs w:val="20"/>
                <w:lang w:val="en-GB"/>
              </w:rPr>
            </w:pPr>
            <w:r w:rsidRPr="00CF4C4E">
              <w:rPr>
                <w:sz w:val="20"/>
                <w:szCs w:val="20"/>
                <w:lang w:val="en-GB"/>
              </w:rPr>
              <w:t>JA</w:t>
            </w:r>
          </w:p>
        </w:tc>
        <w:tc>
          <w:tcPr>
            <w:tcW w:w="485" w:type="pct"/>
          </w:tcPr>
          <w:p w:rsidR="00557B42" w:rsidRPr="00CF4C4E" w:rsidRDefault="00497A27" w:rsidP="00CF4C4E">
            <w:pPr>
              <w:tabs>
                <w:tab w:val="left" w:pos="1940"/>
              </w:tabs>
              <w:rPr>
                <w:iCs/>
                <w:sz w:val="20"/>
                <w:szCs w:val="20"/>
                <w:lang w:val="en-GB"/>
              </w:rPr>
            </w:pPr>
            <w:r w:rsidRPr="00CF4C4E">
              <w:rPr>
                <w:sz w:val="20"/>
                <w:szCs w:val="20"/>
                <w:lang w:val="en-GB"/>
              </w:rPr>
              <w:t>SCC</w:t>
            </w:r>
          </w:p>
        </w:tc>
        <w:tc>
          <w:tcPr>
            <w:tcW w:w="454" w:type="pct"/>
          </w:tcPr>
          <w:p w:rsidR="00557B42" w:rsidRPr="00CF4C4E" w:rsidRDefault="00497A27" w:rsidP="00CF4C4E">
            <w:pPr>
              <w:tabs>
                <w:tab w:val="left" w:pos="1940"/>
              </w:tabs>
              <w:rPr>
                <w:iCs/>
                <w:sz w:val="20"/>
                <w:szCs w:val="20"/>
                <w:lang w:val="en-GB"/>
              </w:rPr>
            </w:pPr>
            <w:r w:rsidRPr="00CF4C4E">
              <w:rPr>
                <w:sz w:val="20"/>
                <w:szCs w:val="20"/>
                <w:lang w:val="en-GB"/>
              </w:rPr>
              <w:t>IV quarter of 2022</w:t>
            </w:r>
          </w:p>
        </w:tc>
        <w:tc>
          <w:tcPr>
            <w:tcW w:w="615" w:type="pct"/>
          </w:tcPr>
          <w:p w:rsidR="00A927A4" w:rsidRPr="00CF4C4E" w:rsidRDefault="00A927A4" w:rsidP="00CF4C4E">
            <w:pPr>
              <w:pStyle w:val="basic-paragraph"/>
              <w:spacing w:before="0" w:beforeAutospacing="0" w:after="0" w:afterAutospacing="0"/>
              <w:rPr>
                <w:sz w:val="20"/>
                <w:szCs w:val="20"/>
                <w:lang w:val="en-GB"/>
              </w:rPr>
            </w:pPr>
            <w:r w:rsidRPr="00CF4C4E">
              <w:rPr>
                <w:sz w:val="20"/>
                <w:szCs w:val="20"/>
                <w:lang w:val="en-GB"/>
              </w:rPr>
              <w:t>International donor funds</w:t>
            </w:r>
          </w:p>
          <w:p w:rsidR="00557B42" w:rsidRPr="00CF4C4E" w:rsidRDefault="00557B42" w:rsidP="00CF4C4E">
            <w:pPr>
              <w:tabs>
                <w:tab w:val="left" w:pos="1940"/>
              </w:tabs>
              <w:rPr>
                <w:sz w:val="20"/>
                <w:szCs w:val="20"/>
                <w:lang w:val="en-GB"/>
              </w:rPr>
            </w:pPr>
          </w:p>
        </w:tc>
        <w:tc>
          <w:tcPr>
            <w:tcW w:w="453" w:type="pct"/>
          </w:tcPr>
          <w:p w:rsidR="00557B42" w:rsidRPr="00CF4C4E" w:rsidRDefault="00557B42" w:rsidP="00CF4C4E">
            <w:pPr>
              <w:tabs>
                <w:tab w:val="left" w:pos="1940"/>
              </w:tabs>
              <w:rPr>
                <w:sz w:val="20"/>
                <w:szCs w:val="20"/>
                <w:lang w:val="en-GB"/>
              </w:rPr>
            </w:pPr>
          </w:p>
        </w:tc>
        <w:tc>
          <w:tcPr>
            <w:tcW w:w="550" w:type="pct"/>
          </w:tcPr>
          <w:p w:rsidR="00557B42" w:rsidRPr="00CF4C4E" w:rsidRDefault="00557B42" w:rsidP="00CF4C4E">
            <w:pPr>
              <w:tabs>
                <w:tab w:val="left" w:pos="1940"/>
              </w:tabs>
              <w:rPr>
                <w:sz w:val="20"/>
                <w:szCs w:val="20"/>
                <w:lang w:val="en-GB"/>
              </w:rPr>
            </w:pPr>
          </w:p>
        </w:tc>
        <w:tc>
          <w:tcPr>
            <w:tcW w:w="518" w:type="pct"/>
          </w:tcPr>
          <w:p w:rsidR="00557B42" w:rsidRPr="00CF4C4E" w:rsidRDefault="00557B42" w:rsidP="00CF4C4E">
            <w:pPr>
              <w:tabs>
                <w:tab w:val="left" w:pos="1940"/>
              </w:tabs>
              <w:rPr>
                <w:sz w:val="20"/>
                <w:szCs w:val="20"/>
                <w:lang w:val="en-GB"/>
              </w:rPr>
            </w:pPr>
          </w:p>
        </w:tc>
        <w:tc>
          <w:tcPr>
            <w:tcW w:w="539" w:type="pct"/>
          </w:tcPr>
          <w:p w:rsidR="00557B42" w:rsidRPr="00CF4C4E" w:rsidRDefault="00557B42" w:rsidP="00CF4C4E">
            <w:pPr>
              <w:tabs>
                <w:tab w:val="left" w:pos="1940"/>
              </w:tabs>
              <w:rPr>
                <w:sz w:val="20"/>
                <w:szCs w:val="20"/>
                <w:lang w:val="en-GB"/>
              </w:rPr>
            </w:pPr>
          </w:p>
        </w:tc>
      </w:tr>
      <w:tr w:rsidR="00A927A4" w:rsidRPr="00CF4C4E" w:rsidTr="00C11F8E">
        <w:trPr>
          <w:trHeight w:val="140"/>
          <w:tblHeader/>
        </w:trPr>
        <w:tc>
          <w:tcPr>
            <w:tcW w:w="938" w:type="pct"/>
            <w:tcBorders>
              <w:left w:val="double" w:sz="4" w:space="0" w:color="auto"/>
            </w:tcBorders>
          </w:tcPr>
          <w:p w:rsidR="00A927A4" w:rsidRPr="00CF4C4E" w:rsidRDefault="00A927A4" w:rsidP="00CF4C4E">
            <w:pPr>
              <w:tabs>
                <w:tab w:val="left" w:pos="1940"/>
              </w:tabs>
              <w:rPr>
                <w:sz w:val="20"/>
                <w:szCs w:val="20"/>
                <w:lang w:val="en-GB"/>
              </w:rPr>
            </w:pPr>
            <w:r w:rsidRPr="00CF4C4E">
              <w:rPr>
                <w:sz w:val="20"/>
                <w:szCs w:val="20"/>
                <w:lang w:val="en-GB"/>
              </w:rPr>
              <w:t>3.2.2. Analysis of comparative case law concerning sanctioning for the ML criminal offences</w:t>
            </w:r>
          </w:p>
        </w:tc>
        <w:tc>
          <w:tcPr>
            <w:tcW w:w="448" w:type="pct"/>
          </w:tcPr>
          <w:p w:rsidR="00A927A4" w:rsidRPr="00CF4C4E" w:rsidRDefault="00A927A4" w:rsidP="00CF4C4E">
            <w:pPr>
              <w:tabs>
                <w:tab w:val="left" w:pos="1940"/>
              </w:tabs>
              <w:rPr>
                <w:iCs/>
                <w:sz w:val="20"/>
                <w:szCs w:val="20"/>
                <w:lang w:val="en-GB"/>
              </w:rPr>
            </w:pPr>
            <w:r w:rsidRPr="00CF4C4E">
              <w:rPr>
                <w:sz w:val="20"/>
                <w:szCs w:val="20"/>
                <w:lang w:val="en-GB"/>
              </w:rPr>
              <w:t xml:space="preserve">SCC </w:t>
            </w:r>
          </w:p>
        </w:tc>
        <w:tc>
          <w:tcPr>
            <w:tcW w:w="485" w:type="pct"/>
          </w:tcPr>
          <w:p w:rsidR="00A927A4" w:rsidRPr="00CF4C4E" w:rsidRDefault="00321E8D" w:rsidP="00CF4C4E">
            <w:pPr>
              <w:tabs>
                <w:tab w:val="left" w:pos="1940"/>
              </w:tabs>
              <w:rPr>
                <w:iCs/>
                <w:sz w:val="20"/>
                <w:szCs w:val="20"/>
                <w:lang w:val="en-GB"/>
              </w:rPr>
            </w:pPr>
            <w:r w:rsidRPr="00CF4C4E">
              <w:rPr>
                <w:sz w:val="20"/>
                <w:szCs w:val="20"/>
                <w:lang w:val="en-GB"/>
              </w:rPr>
              <w:t>AC, CLI</w:t>
            </w:r>
          </w:p>
        </w:tc>
        <w:tc>
          <w:tcPr>
            <w:tcW w:w="454" w:type="pct"/>
          </w:tcPr>
          <w:p w:rsidR="00A927A4" w:rsidRPr="00CF4C4E" w:rsidRDefault="00A927A4" w:rsidP="00CF4C4E">
            <w:pPr>
              <w:tabs>
                <w:tab w:val="left" w:pos="1940"/>
              </w:tabs>
              <w:rPr>
                <w:iCs/>
                <w:sz w:val="20"/>
                <w:szCs w:val="20"/>
                <w:lang w:val="en-GB"/>
              </w:rPr>
            </w:pPr>
            <w:r w:rsidRPr="00CF4C4E">
              <w:rPr>
                <w:sz w:val="20"/>
                <w:szCs w:val="20"/>
                <w:lang w:val="en-GB"/>
              </w:rPr>
              <w:t>IV quarter of 2020</w:t>
            </w:r>
          </w:p>
        </w:tc>
        <w:tc>
          <w:tcPr>
            <w:tcW w:w="615" w:type="pct"/>
          </w:tcPr>
          <w:p w:rsidR="00A927A4" w:rsidRPr="00CF4C4E" w:rsidRDefault="00A927A4" w:rsidP="00CF4C4E">
            <w:pPr>
              <w:rPr>
                <w:sz w:val="20"/>
                <w:szCs w:val="20"/>
                <w:lang w:val="en-GB"/>
              </w:rPr>
            </w:pPr>
            <w:r w:rsidRPr="00CF4C4E">
              <w:rPr>
                <w:sz w:val="20"/>
                <w:szCs w:val="20"/>
                <w:lang w:val="en-GB"/>
              </w:rPr>
              <w:t>International donor funds</w:t>
            </w:r>
          </w:p>
        </w:tc>
        <w:tc>
          <w:tcPr>
            <w:tcW w:w="453" w:type="pct"/>
          </w:tcPr>
          <w:p w:rsidR="00A927A4" w:rsidRPr="00CF4C4E" w:rsidRDefault="00A927A4" w:rsidP="00CF4C4E">
            <w:pPr>
              <w:tabs>
                <w:tab w:val="left" w:pos="1940"/>
              </w:tabs>
              <w:rPr>
                <w:sz w:val="20"/>
                <w:szCs w:val="20"/>
                <w:lang w:val="en-GB"/>
              </w:rPr>
            </w:pPr>
          </w:p>
        </w:tc>
        <w:tc>
          <w:tcPr>
            <w:tcW w:w="550" w:type="pct"/>
          </w:tcPr>
          <w:p w:rsidR="00A927A4" w:rsidRPr="00CF4C4E" w:rsidRDefault="00A927A4" w:rsidP="00CF4C4E">
            <w:pPr>
              <w:tabs>
                <w:tab w:val="left" w:pos="1940"/>
              </w:tabs>
              <w:rPr>
                <w:sz w:val="20"/>
                <w:szCs w:val="20"/>
                <w:lang w:val="en-GB"/>
              </w:rPr>
            </w:pPr>
          </w:p>
        </w:tc>
        <w:tc>
          <w:tcPr>
            <w:tcW w:w="518" w:type="pct"/>
          </w:tcPr>
          <w:p w:rsidR="00A927A4" w:rsidRPr="00CF4C4E" w:rsidRDefault="00A927A4" w:rsidP="00CF4C4E">
            <w:pPr>
              <w:tabs>
                <w:tab w:val="left" w:pos="1940"/>
              </w:tabs>
              <w:rPr>
                <w:sz w:val="20"/>
                <w:szCs w:val="20"/>
                <w:lang w:val="en-GB"/>
              </w:rPr>
            </w:pPr>
          </w:p>
        </w:tc>
        <w:tc>
          <w:tcPr>
            <w:tcW w:w="539" w:type="pct"/>
          </w:tcPr>
          <w:p w:rsidR="00A927A4" w:rsidRPr="00CF4C4E" w:rsidRDefault="00A927A4" w:rsidP="00CF4C4E">
            <w:pPr>
              <w:tabs>
                <w:tab w:val="left" w:pos="1940"/>
              </w:tabs>
              <w:rPr>
                <w:sz w:val="20"/>
                <w:szCs w:val="20"/>
                <w:lang w:val="en-GB"/>
              </w:rPr>
            </w:pPr>
          </w:p>
        </w:tc>
      </w:tr>
      <w:tr w:rsidR="00A927A4" w:rsidRPr="00CF4C4E" w:rsidTr="00C11F8E">
        <w:trPr>
          <w:trHeight w:val="140"/>
          <w:tblHeader/>
        </w:trPr>
        <w:tc>
          <w:tcPr>
            <w:tcW w:w="938" w:type="pct"/>
            <w:tcBorders>
              <w:left w:val="double" w:sz="4" w:space="0" w:color="auto"/>
            </w:tcBorders>
          </w:tcPr>
          <w:p w:rsidR="00A927A4" w:rsidRPr="00CF4C4E" w:rsidRDefault="00A927A4" w:rsidP="00CF4C4E">
            <w:pPr>
              <w:tabs>
                <w:tab w:val="left" w:pos="1940"/>
              </w:tabs>
              <w:rPr>
                <w:sz w:val="20"/>
                <w:szCs w:val="20"/>
                <w:lang w:val="en-GB"/>
              </w:rPr>
            </w:pPr>
            <w:r w:rsidRPr="00CF4C4E">
              <w:rPr>
                <w:sz w:val="20"/>
                <w:szCs w:val="20"/>
                <w:lang w:val="en-GB"/>
              </w:rPr>
              <w:lastRenderedPageBreak/>
              <w:t>3.2.3. Exchange of experiences at the international level, among other things through study visits of competent LEAs to countries with good track record of prosecuting ML cases</w:t>
            </w:r>
          </w:p>
          <w:p w:rsidR="00A927A4" w:rsidRPr="00CF4C4E" w:rsidRDefault="00A927A4" w:rsidP="00CF4C4E">
            <w:pPr>
              <w:tabs>
                <w:tab w:val="left" w:pos="1940"/>
              </w:tabs>
              <w:rPr>
                <w:sz w:val="20"/>
                <w:szCs w:val="20"/>
                <w:lang w:val="en-GB"/>
              </w:rPr>
            </w:pPr>
          </w:p>
        </w:tc>
        <w:tc>
          <w:tcPr>
            <w:tcW w:w="448" w:type="pct"/>
          </w:tcPr>
          <w:p w:rsidR="00A927A4" w:rsidRPr="00CF4C4E" w:rsidRDefault="00A927A4" w:rsidP="00CF4C4E">
            <w:pPr>
              <w:tabs>
                <w:tab w:val="left" w:pos="1940"/>
              </w:tabs>
              <w:rPr>
                <w:iCs/>
                <w:sz w:val="20"/>
                <w:szCs w:val="20"/>
                <w:lang w:val="en-GB"/>
              </w:rPr>
            </w:pPr>
            <w:r w:rsidRPr="00CF4C4E">
              <w:rPr>
                <w:sz w:val="20"/>
                <w:szCs w:val="20"/>
                <w:lang w:val="en-GB"/>
              </w:rPr>
              <w:t xml:space="preserve">SCC </w:t>
            </w:r>
          </w:p>
        </w:tc>
        <w:tc>
          <w:tcPr>
            <w:tcW w:w="485" w:type="pct"/>
          </w:tcPr>
          <w:p w:rsidR="00A927A4" w:rsidRPr="00CF4C4E" w:rsidRDefault="00A927A4" w:rsidP="00CF4C4E">
            <w:pPr>
              <w:tabs>
                <w:tab w:val="left" w:pos="1940"/>
              </w:tabs>
              <w:rPr>
                <w:iCs/>
                <w:sz w:val="20"/>
                <w:szCs w:val="20"/>
                <w:lang w:val="en-GB"/>
              </w:rPr>
            </w:pPr>
            <w:r w:rsidRPr="00CF4C4E">
              <w:rPr>
                <w:sz w:val="20"/>
                <w:szCs w:val="20"/>
                <w:lang w:val="en-GB"/>
              </w:rPr>
              <w:t>RPPO, POOC; HPPO’s of Kraljevo, Belgrade, Nis, Novi Sad; MoF-CA; MoI; ACAS; MoF-TA; APML</w:t>
            </w:r>
          </w:p>
        </w:tc>
        <w:tc>
          <w:tcPr>
            <w:tcW w:w="454" w:type="pct"/>
          </w:tcPr>
          <w:p w:rsidR="00A927A4" w:rsidRPr="00CF4C4E" w:rsidRDefault="00A927A4" w:rsidP="00CF4C4E">
            <w:pPr>
              <w:tabs>
                <w:tab w:val="left" w:pos="1940"/>
              </w:tabs>
              <w:rPr>
                <w:iCs/>
                <w:sz w:val="20"/>
                <w:szCs w:val="20"/>
                <w:lang w:val="en-GB"/>
              </w:rPr>
            </w:pPr>
            <w:r w:rsidRPr="00CF4C4E">
              <w:rPr>
                <w:sz w:val="20"/>
                <w:szCs w:val="20"/>
                <w:lang w:val="en-GB"/>
              </w:rPr>
              <w:t xml:space="preserve">IV quarter of 2022 </w:t>
            </w:r>
          </w:p>
        </w:tc>
        <w:tc>
          <w:tcPr>
            <w:tcW w:w="615" w:type="pct"/>
          </w:tcPr>
          <w:p w:rsidR="00A927A4" w:rsidRPr="00CF4C4E" w:rsidRDefault="00A927A4" w:rsidP="00CF4C4E">
            <w:pPr>
              <w:rPr>
                <w:sz w:val="20"/>
                <w:szCs w:val="20"/>
                <w:lang w:val="en-GB"/>
              </w:rPr>
            </w:pPr>
            <w:r w:rsidRPr="00CF4C4E">
              <w:rPr>
                <w:sz w:val="20"/>
                <w:szCs w:val="20"/>
                <w:lang w:val="en-GB"/>
              </w:rPr>
              <w:t>International donor funds</w:t>
            </w:r>
          </w:p>
        </w:tc>
        <w:tc>
          <w:tcPr>
            <w:tcW w:w="453" w:type="pct"/>
          </w:tcPr>
          <w:p w:rsidR="00A927A4" w:rsidRPr="00CF4C4E" w:rsidRDefault="00A927A4" w:rsidP="00CF4C4E">
            <w:pPr>
              <w:tabs>
                <w:tab w:val="left" w:pos="1940"/>
              </w:tabs>
              <w:rPr>
                <w:sz w:val="20"/>
                <w:szCs w:val="20"/>
                <w:lang w:val="en-GB"/>
              </w:rPr>
            </w:pPr>
          </w:p>
        </w:tc>
        <w:tc>
          <w:tcPr>
            <w:tcW w:w="550" w:type="pct"/>
          </w:tcPr>
          <w:p w:rsidR="00A927A4" w:rsidRPr="00CF4C4E" w:rsidRDefault="00A927A4" w:rsidP="00CF4C4E">
            <w:pPr>
              <w:tabs>
                <w:tab w:val="left" w:pos="1940"/>
              </w:tabs>
              <w:rPr>
                <w:sz w:val="20"/>
                <w:szCs w:val="20"/>
                <w:lang w:val="en-GB"/>
              </w:rPr>
            </w:pPr>
          </w:p>
        </w:tc>
        <w:tc>
          <w:tcPr>
            <w:tcW w:w="518" w:type="pct"/>
          </w:tcPr>
          <w:p w:rsidR="00A927A4" w:rsidRPr="00CF4C4E" w:rsidRDefault="00A927A4" w:rsidP="00CF4C4E">
            <w:pPr>
              <w:tabs>
                <w:tab w:val="left" w:pos="1940"/>
              </w:tabs>
              <w:rPr>
                <w:sz w:val="20"/>
                <w:szCs w:val="20"/>
                <w:lang w:val="en-GB"/>
              </w:rPr>
            </w:pPr>
          </w:p>
        </w:tc>
        <w:tc>
          <w:tcPr>
            <w:tcW w:w="539" w:type="pct"/>
          </w:tcPr>
          <w:p w:rsidR="00A927A4" w:rsidRPr="00CF4C4E" w:rsidRDefault="00A927A4" w:rsidP="00CF4C4E">
            <w:pPr>
              <w:tabs>
                <w:tab w:val="left" w:pos="1940"/>
              </w:tabs>
              <w:rPr>
                <w:sz w:val="20"/>
                <w:szCs w:val="20"/>
                <w:lang w:val="en-GB"/>
              </w:rPr>
            </w:pPr>
          </w:p>
        </w:tc>
      </w:tr>
      <w:tr w:rsidR="00863A32" w:rsidRPr="00CF4C4E" w:rsidTr="00C11F8E">
        <w:trPr>
          <w:trHeight w:val="140"/>
          <w:tblHeader/>
        </w:trPr>
        <w:tc>
          <w:tcPr>
            <w:tcW w:w="938" w:type="pct"/>
            <w:tcBorders>
              <w:left w:val="double" w:sz="4" w:space="0" w:color="auto"/>
            </w:tcBorders>
          </w:tcPr>
          <w:p w:rsidR="00863A32" w:rsidRPr="00CF4C4E" w:rsidRDefault="00863A32" w:rsidP="00CF4C4E">
            <w:pPr>
              <w:tabs>
                <w:tab w:val="left" w:pos="1940"/>
              </w:tabs>
              <w:rPr>
                <w:iCs/>
                <w:sz w:val="20"/>
                <w:szCs w:val="20"/>
                <w:lang w:val="en-GB"/>
              </w:rPr>
            </w:pPr>
            <w:r w:rsidRPr="00CF4C4E">
              <w:rPr>
                <w:sz w:val="20"/>
                <w:szCs w:val="20"/>
                <w:lang w:val="en-GB"/>
              </w:rPr>
              <w:t xml:space="preserve">3.2.4. Prepare quarterly analyses of the domestic case law concerning the prosecution of the ML crime - publishing of bulletins and professional publications concerning proceedings and court decisions for money laundering, especially court decisions that can be considered precedents </w:t>
            </w:r>
          </w:p>
        </w:tc>
        <w:tc>
          <w:tcPr>
            <w:tcW w:w="448" w:type="pct"/>
          </w:tcPr>
          <w:p w:rsidR="00863A32" w:rsidRPr="00CF4C4E" w:rsidRDefault="00863A32" w:rsidP="00CF4C4E">
            <w:pPr>
              <w:tabs>
                <w:tab w:val="left" w:pos="1940"/>
              </w:tabs>
              <w:rPr>
                <w:iCs/>
                <w:sz w:val="20"/>
                <w:szCs w:val="20"/>
                <w:lang w:val="en-GB"/>
              </w:rPr>
            </w:pPr>
            <w:r w:rsidRPr="00CF4C4E">
              <w:rPr>
                <w:sz w:val="20"/>
                <w:szCs w:val="20"/>
                <w:lang w:val="en-GB"/>
              </w:rPr>
              <w:t>SCC</w:t>
            </w:r>
          </w:p>
        </w:tc>
        <w:tc>
          <w:tcPr>
            <w:tcW w:w="485" w:type="pct"/>
          </w:tcPr>
          <w:p w:rsidR="00863A32" w:rsidRPr="00CF4C4E" w:rsidRDefault="005768D4" w:rsidP="00CF4C4E">
            <w:pPr>
              <w:tabs>
                <w:tab w:val="left" w:pos="1940"/>
              </w:tabs>
              <w:rPr>
                <w:sz w:val="20"/>
                <w:szCs w:val="20"/>
                <w:lang w:val="en-GB"/>
              </w:rPr>
            </w:pPr>
            <w:r w:rsidRPr="00CF4C4E">
              <w:rPr>
                <w:sz w:val="20"/>
                <w:szCs w:val="20"/>
                <w:lang w:val="en-GB"/>
              </w:rPr>
              <w:t>HC; ACs of Kraljevo, Belgrade, Nis, Novi Sad</w:t>
            </w:r>
          </w:p>
        </w:tc>
        <w:tc>
          <w:tcPr>
            <w:tcW w:w="454" w:type="pct"/>
          </w:tcPr>
          <w:p w:rsidR="00863A32" w:rsidRPr="00CF4C4E" w:rsidRDefault="00A12AA6" w:rsidP="00CF4C4E">
            <w:pPr>
              <w:tabs>
                <w:tab w:val="left" w:pos="1940"/>
              </w:tabs>
              <w:rPr>
                <w:sz w:val="20"/>
                <w:szCs w:val="20"/>
                <w:lang w:val="en-GB"/>
              </w:rPr>
            </w:pPr>
            <w:r w:rsidRPr="00CF4C4E">
              <w:rPr>
                <w:sz w:val="20"/>
                <w:szCs w:val="20"/>
                <w:lang w:val="en-GB"/>
              </w:rPr>
              <w:t>IV quarter of 2022</w:t>
            </w:r>
          </w:p>
        </w:tc>
        <w:tc>
          <w:tcPr>
            <w:tcW w:w="615" w:type="pct"/>
          </w:tcPr>
          <w:p w:rsidR="00DD68A6" w:rsidRPr="00CF4C4E" w:rsidRDefault="00DD68A6" w:rsidP="00CF4C4E">
            <w:pPr>
              <w:rPr>
                <w:sz w:val="20"/>
                <w:szCs w:val="20"/>
                <w:lang w:val="en-GB"/>
              </w:rPr>
            </w:pPr>
            <w:r w:rsidRPr="00CF4C4E">
              <w:rPr>
                <w:sz w:val="20"/>
                <w:szCs w:val="20"/>
                <w:lang w:val="en-GB"/>
              </w:rPr>
              <w:t>Financed as part of regular activities of staff</w:t>
            </w:r>
          </w:p>
          <w:p w:rsidR="00DD68A6" w:rsidRPr="00CF4C4E" w:rsidRDefault="00DD68A6" w:rsidP="00CF4C4E">
            <w:pPr>
              <w:rPr>
                <w:sz w:val="20"/>
                <w:szCs w:val="20"/>
                <w:lang w:val="en-GB"/>
              </w:rPr>
            </w:pPr>
          </w:p>
          <w:p w:rsidR="00863A32" w:rsidRPr="00CF4C4E" w:rsidRDefault="00863A32" w:rsidP="00CF4C4E">
            <w:pPr>
              <w:tabs>
                <w:tab w:val="left" w:pos="1940"/>
              </w:tabs>
              <w:rPr>
                <w:sz w:val="20"/>
                <w:szCs w:val="20"/>
                <w:lang w:val="en-GB"/>
              </w:rPr>
            </w:pPr>
          </w:p>
        </w:tc>
        <w:tc>
          <w:tcPr>
            <w:tcW w:w="453" w:type="pct"/>
          </w:tcPr>
          <w:p w:rsidR="00863A32" w:rsidRPr="00CF4C4E" w:rsidRDefault="00863A32" w:rsidP="00CF4C4E">
            <w:pPr>
              <w:tabs>
                <w:tab w:val="left" w:pos="1940"/>
              </w:tabs>
              <w:rPr>
                <w:sz w:val="20"/>
                <w:szCs w:val="20"/>
                <w:lang w:val="en-GB"/>
              </w:rPr>
            </w:pPr>
          </w:p>
        </w:tc>
        <w:tc>
          <w:tcPr>
            <w:tcW w:w="550" w:type="pct"/>
          </w:tcPr>
          <w:p w:rsidR="00863A32" w:rsidRPr="00CF4C4E" w:rsidRDefault="00863A32" w:rsidP="00CF4C4E">
            <w:pPr>
              <w:tabs>
                <w:tab w:val="left" w:pos="1940"/>
              </w:tabs>
              <w:rPr>
                <w:sz w:val="20"/>
                <w:szCs w:val="20"/>
                <w:lang w:val="en-GB"/>
              </w:rPr>
            </w:pPr>
          </w:p>
        </w:tc>
        <w:tc>
          <w:tcPr>
            <w:tcW w:w="518" w:type="pct"/>
          </w:tcPr>
          <w:p w:rsidR="00863A32" w:rsidRPr="00CF4C4E" w:rsidRDefault="00863A32" w:rsidP="00CF4C4E">
            <w:pPr>
              <w:tabs>
                <w:tab w:val="left" w:pos="1940"/>
              </w:tabs>
              <w:rPr>
                <w:sz w:val="20"/>
                <w:szCs w:val="20"/>
                <w:lang w:val="en-GB"/>
              </w:rPr>
            </w:pPr>
          </w:p>
        </w:tc>
        <w:tc>
          <w:tcPr>
            <w:tcW w:w="539" w:type="pct"/>
          </w:tcPr>
          <w:p w:rsidR="00863A32" w:rsidRPr="00CF4C4E" w:rsidRDefault="00863A32" w:rsidP="00CF4C4E">
            <w:pPr>
              <w:tabs>
                <w:tab w:val="left" w:pos="1940"/>
              </w:tabs>
              <w:rPr>
                <w:sz w:val="20"/>
                <w:szCs w:val="20"/>
                <w:lang w:val="en-GB"/>
              </w:rPr>
            </w:pPr>
          </w:p>
        </w:tc>
      </w:tr>
    </w:tbl>
    <w:p w:rsidR="00D57EC4" w:rsidRPr="00CF4C4E" w:rsidRDefault="00D57EC4" w:rsidP="00CF4C4E">
      <w:pPr>
        <w:tabs>
          <w:tab w:val="left" w:pos="1940"/>
        </w:tabs>
        <w:rPr>
          <w:sz w:val="20"/>
          <w:szCs w:val="20"/>
          <w:lang w:val="en-GB"/>
        </w:rPr>
      </w:pPr>
    </w:p>
    <w:tbl>
      <w:tblPr>
        <w:tblStyle w:val="TableGrid"/>
        <w:tblW w:w="14132" w:type="dxa"/>
        <w:tblInd w:w="10" w:type="dxa"/>
        <w:tblLayout w:type="fixed"/>
        <w:tblLook w:val="04A0"/>
      </w:tblPr>
      <w:tblGrid>
        <w:gridCol w:w="2508"/>
        <w:gridCol w:w="1418"/>
        <w:gridCol w:w="2976"/>
        <w:gridCol w:w="284"/>
        <w:gridCol w:w="1276"/>
        <w:gridCol w:w="1134"/>
        <w:gridCol w:w="1417"/>
        <w:gridCol w:w="1559"/>
        <w:gridCol w:w="1560"/>
      </w:tblGrid>
      <w:tr w:rsidR="00863A32" w:rsidRPr="00CF4C4E" w:rsidTr="00F3347F">
        <w:trPr>
          <w:trHeight w:val="169"/>
        </w:trPr>
        <w:tc>
          <w:tcPr>
            <w:tcW w:w="14132" w:type="dxa"/>
            <w:gridSpan w:val="9"/>
            <w:tcBorders>
              <w:top w:val="double" w:sz="4" w:space="0" w:color="auto"/>
              <w:left w:val="double" w:sz="4" w:space="0" w:color="auto"/>
              <w:right w:val="double" w:sz="4" w:space="0" w:color="auto"/>
            </w:tcBorders>
            <w:shd w:val="clear" w:color="auto" w:fill="E5B8B7" w:themeFill="accent2" w:themeFillTint="66"/>
          </w:tcPr>
          <w:p w:rsidR="00863A32" w:rsidRPr="00CF4C4E" w:rsidRDefault="00863A32" w:rsidP="00CF4C4E">
            <w:pPr>
              <w:pStyle w:val="Heading3"/>
              <w:spacing w:before="0"/>
              <w:rPr>
                <w:rFonts w:cs="Times New Roman"/>
                <w:szCs w:val="20"/>
                <w:lang w:val="en-GB"/>
              </w:rPr>
            </w:pPr>
            <w:bookmarkStart w:id="13" w:name="_Toc32409917"/>
            <w:r w:rsidRPr="00CF4C4E">
              <w:rPr>
                <w:rFonts w:cs="Times New Roman"/>
                <w:szCs w:val="20"/>
                <w:lang w:val="en-GB"/>
              </w:rPr>
              <w:t>Measure 3.3:</w:t>
            </w:r>
            <w:r w:rsidRPr="00CF4C4E">
              <w:rPr>
                <w:rFonts w:cs="Times New Roman"/>
                <w:b w:val="0"/>
                <w:bCs w:val="0"/>
                <w:szCs w:val="20"/>
                <w:lang w:val="en-GB"/>
              </w:rPr>
              <w:t xml:space="preserve"> </w:t>
            </w:r>
            <w:r w:rsidRPr="00CF4C4E">
              <w:rPr>
                <w:rFonts w:cs="Times New Roman"/>
                <w:szCs w:val="20"/>
                <w:lang w:val="en-GB"/>
              </w:rPr>
              <w:t>Effective seizure/confiscation of proceeds from crime</w:t>
            </w:r>
            <w:bookmarkEnd w:id="13"/>
          </w:p>
        </w:tc>
      </w:tr>
      <w:tr w:rsidR="00863A32" w:rsidRPr="00CF4C4E" w:rsidTr="00F3347F">
        <w:trPr>
          <w:trHeight w:val="300"/>
        </w:trPr>
        <w:tc>
          <w:tcPr>
            <w:tcW w:w="14132" w:type="dxa"/>
            <w:gridSpan w:val="9"/>
            <w:tcBorders>
              <w:top w:val="double" w:sz="4" w:space="0" w:color="auto"/>
              <w:left w:val="double" w:sz="4" w:space="0" w:color="auto"/>
              <w:bottom w:val="double" w:sz="4" w:space="0" w:color="auto"/>
              <w:right w:val="double" w:sz="4" w:space="0" w:color="auto"/>
            </w:tcBorders>
            <w:shd w:val="clear" w:color="auto" w:fill="E5B8B7" w:themeFill="accent2" w:themeFillTint="66"/>
            <w:vAlign w:val="center"/>
          </w:tcPr>
          <w:p w:rsidR="00863A32" w:rsidRPr="00CF4C4E" w:rsidRDefault="00863A32" w:rsidP="00CF4C4E">
            <w:pPr>
              <w:tabs>
                <w:tab w:val="left" w:pos="1940"/>
              </w:tabs>
              <w:rPr>
                <w:sz w:val="20"/>
                <w:szCs w:val="20"/>
                <w:lang w:val="en-GB"/>
              </w:rPr>
            </w:pPr>
            <w:r w:rsidRPr="00CF4C4E">
              <w:rPr>
                <w:sz w:val="20"/>
                <w:szCs w:val="20"/>
                <w:lang w:val="en-GB"/>
              </w:rPr>
              <w:t xml:space="preserve">Institution responsible for monitoring and control of implementation: </w:t>
            </w:r>
            <w:r w:rsidRPr="00CF4C4E">
              <w:rPr>
                <w:color w:val="222222"/>
                <w:sz w:val="20"/>
                <w:szCs w:val="20"/>
                <w:lang w:val="en-GB"/>
              </w:rPr>
              <w:t>Coordination Body for the Prevention of Money Laundering and the Financing of Terrorism (AML/CFT CB)</w:t>
            </w:r>
          </w:p>
        </w:tc>
      </w:tr>
      <w:tr w:rsidR="00863A32" w:rsidRPr="00CF4C4E" w:rsidTr="00F3347F">
        <w:trPr>
          <w:trHeight w:val="300"/>
        </w:trPr>
        <w:tc>
          <w:tcPr>
            <w:tcW w:w="6902" w:type="dxa"/>
            <w:gridSpan w:val="3"/>
            <w:tcBorders>
              <w:top w:val="double" w:sz="4" w:space="0" w:color="auto"/>
              <w:left w:val="double" w:sz="4" w:space="0" w:color="auto"/>
              <w:bottom w:val="double" w:sz="4" w:space="0" w:color="auto"/>
              <w:right w:val="double" w:sz="4" w:space="0" w:color="auto"/>
            </w:tcBorders>
            <w:shd w:val="clear" w:color="auto" w:fill="E5B8B7" w:themeFill="accent2" w:themeFillTint="66"/>
          </w:tcPr>
          <w:p w:rsidR="00863A32" w:rsidRPr="00CF4C4E" w:rsidRDefault="00863A32" w:rsidP="00CF4C4E">
            <w:pPr>
              <w:tabs>
                <w:tab w:val="left" w:pos="1940"/>
              </w:tabs>
              <w:rPr>
                <w:sz w:val="20"/>
                <w:szCs w:val="20"/>
                <w:lang w:val="en-GB"/>
              </w:rPr>
            </w:pPr>
            <w:r w:rsidRPr="00CF4C4E">
              <w:rPr>
                <w:sz w:val="20"/>
                <w:szCs w:val="20"/>
                <w:lang w:val="en-GB"/>
              </w:rPr>
              <w:t>Implementation period: 2020-2022</w:t>
            </w:r>
          </w:p>
        </w:tc>
        <w:tc>
          <w:tcPr>
            <w:tcW w:w="7230" w:type="dxa"/>
            <w:gridSpan w:val="6"/>
            <w:tcBorders>
              <w:top w:val="double" w:sz="4" w:space="0" w:color="auto"/>
              <w:left w:val="double" w:sz="4" w:space="0" w:color="auto"/>
              <w:bottom w:val="double" w:sz="4" w:space="0" w:color="auto"/>
              <w:right w:val="double" w:sz="4" w:space="0" w:color="auto"/>
            </w:tcBorders>
            <w:shd w:val="clear" w:color="auto" w:fill="E5B8B7" w:themeFill="accent2" w:themeFillTint="66"/>
          </w:tcPr>
          <w:p w:rsidR="00863A32" w:rsidRPr="00CF4C4E" w:rsidRDefault="00863A32" w:rsidP="00CF4C4E">
            <w:pPr>
              <w:rPr>
                <w:sz w:val="20"/>
                <w:szCs w:val="20"/>
                <w:lang w:val="en-GB"/>
              </w:rPr>
            </w:pPr>
            <w:r w:rsidRPr="00CF4C4E">
              <w:rPr>
                <w:sz w:val="20"/>
                <w:szCs w:val="20"/>
                <w:lang w:val="en-GB"/>
              </w:rPr>
              <w:t>Type of measure: Information and knowledge sharing</w:t>
            </w:r>
          </w:p>
        </w:tc>
      </w:tr>
      <w:tr w:rsidR="00F3347F" w:rsidRPr="00CF4C4E" w:rsidTr="00CF4C4E">
        <w:trPr>
          <w:trHeight w:val="955"/>
        </w:trPr>
        <w:tc>
          <w:tcPr>
            <w:tcW w:w="2508" w:type="dxa"/>
            <w:tcBorders>
              <w:top w:val="double" w:sz="4" w:space="0" w:color="auto"/>
            </w:tcBorders>
            <w:shd w:val="clear" w:color="auto" w:fill="D9D9D9" w:themeFill="background1" w:themeFillShade="D9"/>
          </w:tcPr>
          <w:p w:rsidR="00F3347F" w:rsidRPr="00CF4C4E" w:rsidRDefault="00F3347F" w:rsidP="00CF4C4E">
            <w:pPr>
              <w:tabs>
                <w:tab w:val="left" w:pos="1940"/>
              </w:tabs>
              <w:rPr>
                <w:sz w:val="20"/>
                <w:szCs w:val="20"/>
                <w:lang w:val="en-GB"/>
              </w:rPr>
            </w:pPr>
            <w:r w:rsidRPr="00CF4C4E">
              <w:rPr>
                <w:sz w:val="20"/>
                <w:szCs w:val="20"/>
                <w:lang w:val="en-GB"/>
              </w:rPr>
              <w:t>Indicator(s) at the level of measure (result indicator):</w:t>
            </w:r>
          </w:p>
        </w:tc>
        <w:tc>
          <w:tcPr>
            <w:tcW w:w="1418" w:type="dxa"/>
            <w:tcBorders>
              <w:top w:val="double" w:sz="4" w:space="0" w:color="auto"/>
            </w:tcBorders>
            <w:shd w:val="clear" w:color="auto" w:fill="D9D9D9" w:themeFill="background1" w:themeFillShade="D9"/>
          </w:tcPr>
          <w:p w:rsidR="00F3347F" w:rsidRPr="00CF4C4E" w:rsidRDefault="00F3347F" w:rsidP="00CF4C4E">
            <w:pPr>
              <w:tabs>
                <w:tab w:val="left" w:pos="1940"/>
              </w:tabs>
              <w:rPr>
                <w:sz w:val="20"/>
                <w:szCs w:val="20"/>
                <w:lang w:val="en-GB"/>
              </w:rPr>
            </w:pPr>
            <w:r w:rsidRPr="00CF4C4E">
              <w:rPr>
                <w:sz w:val="20"/>
                <w:szCs w:val="20"/>
                <w:lang w:val="en-GB"/>
              </w:rPr>
              <w:t>Unit of measurement</w:t>
            </w:r>
          </w:p>
          <w:p w:rsidR="00F3347F" w:rsidRPr="00CF4C4E" w:rsidRDefault="00F3347F" w:rsidP="00CF4C4E">
            <w:pPr>
              <w:tabs>
                <w:tab w:val="left" w:pos="1940"/>
              </w:tabs>
              <w:rPr>
                <w:sz w:val="20"/>
                <w:szCs w:val="20"/>
                <w:lang w:val="en-GB"/>
              </w:rPr>
            </w:pPr>
          </w:p>
        </w:tc>
        <w:tc>
          <w:tcPr>
            <w:tcW w:w="3260" w:type="dxa"/>
            <w:gridSpan w:val="2"/>
            <w:tcBorders>
              <w:top w:val="double" w:sz="4" w:space="0" w:color="auto"/>
            </w:tcBorders>
            <w:shd w:val="clear" w:color="auto" w:fill="D9D9D9" w:themeFill="background1" w:themeFillShade="D9"/>
          </w:tcPr>
          <w:p w:rsidR="00F3347F" w:rsidRPr="00CF4C4E" w:rsidRDefault="00F3347F" w:rsidP="00CF4C4E">
            <w:pPr>
              <w:tabs>
                <w:tab w:val="left" w:pos="1940"/>
              </w:tabs>
              <w:rPr>
                <w:sz w:val="20"/>
                <w:szCs w:val="20"/>
                <w:lang w:val="en-GB"/>
              </w:rPr>
            </w:pPr>
            <w:r w:rsidRPr="00CF4C4E">
              <w:rPr>
                <w:sz w:val="20"/>
                <w:szCs w:val="20"/>
                <w:lang w:val="en-GB"/>
              </w:rPr>
              <w:t>Source of verification</w:t>
            </w:r>
          </w:p>
        </w:tc>
        <w:tc>
          <w:tcPr>
            <w:tcW w:w="1276" w:type="dxa"/>
            <w:tcBorders>
              <w:top w:val="double" w:sz="4" w:space="0" w:color="auto"/>
            </w:tcBorders>
            <w:shd w:val="clear" w:color="auto" w:fill="D9D9D9" w:themeFill="background1" w:themeFillShade="D9"/>
          </w:tcPr>
          <w:p w:rsidR="00F3347F" w:rsidRPr="00CF4C4E" w:rsidRDefault="00F3347F" w:rsidP="00CF4C4E">
            <w:pPr>
              <w:tabs>
                <w:tab w:val="left" w:pos="1940"/>
              </w:tabs>
              <w:rPr>
                <w:sz w:val="20"/>
                <w:szCs w:val="20"/>
                <w:lang w:val="en-GB"/>
              </w:rPr>
            </w:pPr>
            <w:r w:rsidRPr="00CF4C4E">
              <w:rPr>
                <w:sz w:val="20"/>
                <w:szCs w:val="20"/>
                <w:lang w:val="en-GB"/>
              </w:rPr>
              <w:t xml:space="preserve">Base value </w:t>
            </w:r>
          </w:p>
        </w:tc>
        <w:tc>
          <w:tcPr>
            <w:tcW w:w="1134" w:type="dxa"/>
            <w:tcBorders>
              <w:top w:val="double" w:sz="4" w:space="0" w:color="auto"/>
            </w:tcBorders>
            <w:shd w:val="clear" w:color="auto" w:fill="D9D9D9" w:themeFill="background1" w:themeFillShade="D9"/>
          </w:tcPr>
          <w:p w:rsidR="00F3347F" w:rsidRPr="00CF4C4E" w:rsidRDefault="00F3347F" w:rsidP="00CF4C4E">
            <w:pPr>
              <w:tabs>
                <w:tab w:val="left" w:pos="1940"/>
              </w:tabs>
              <w:rPr>
                <w:sz w:val="20"/>
                <w:szCs w:val="20"/>
                <w:lang w:val="en-GB"/>
              </w:rPr>
            </w:pPr>
            <w:r w:rsidRPr="00CF4C4E">
              <w:rPr>
                <w:sz w:val="20"/>
                <w:szCs w:val="20"/>
                <w:lang w:val="en-GB"/>
              </w:rPr>
              <w:t>Base year</w:t>
            </w:r>
          </w:p>
        </w:tc>
        <w:tc>
          <w:tcPr>
            <w:tcW w:w="1417" w:type="dxa"/>
            <w:tcBorders>
              <w:top w:val="double" w:sz="4" w:space="0" w:color="auto"/>
            </w:tcBorders>
            <w:shd w:val="clear" w:color="auto" w:fill="D9D9D9" w:themeFill="background1" w:themeFillShade="D9"/>
          </w:tcPr>
          <w:p w:rsidR="00F3347F" w:rsidRPr="00CF4C4E" w:rsidRDefault="00F3347F" w:rsidP="00CF4C4E">
            <w:pPr>
              <w:rPr>
                <w:sz w:val="20"/>
                <w:szCs w:val="20"/>
                <w:lang w:val="en-GB"/>
              </w:rPr>
            </w:pPr>
            <w:r w:rsidRPr="00CF4C4E">
              <w:rPr>
                <w:sz w:val="20"/>
                <w:szCs w:val="20"/>
                <w:lang w:val="en-GB"/>
              </w:rPr>
              <w:t>Target value in 2020</w:t>
            </w:r>
          </w:p>
        </w:tc>
        <w:tc>
          <w:tcPr>
            <w:tcW w:w="1559" w:type="dxa"/>
            <w:tcBorders>
              <w:top w:val="double" w:sz="4" w:space="0" w:color="auto"/>
              <w:right w:val="double" w:sz="4" w:space="0" w:color="auto"/>
            </w:tcBorders>
            <w:shd w:val="clear" w:color="auto" w:fill="D9D9D9" w:themeFill="background1" w:themeFillShade="D9"/>
          </w:tcPr>
          <w:p w:rsidR="00F3347F" w:rsidRPr="00CF4C4E" w:rsidRDefault="00F3347F" w:rsidP="00CF4C4E">
            <w:pPr>
              <w:rPr>
                <w:sz w:val="20"/>
                <w:szCs w:val="20"/>
                <w:lang w:val="en-GB"/>
              </w:rPr>
            </w:pPr>
            <w:r w:rsidRPr="00CF4C4E">
              <w:rPr>
                <w:sz w:val="20"/>
                <w:szCs w:val="20"/>
                <w:lang w:val="en-GB"/>
              </w:rPr>
              <w:t>Target value in 2021</w:t>
            </w:r>
          </w:p>
        </w:tc>
        <w:tc>
          <w:tcPr>
            <w:tcW w:w="1560" w:type="dxa"/>
            <w:tcBorders>
              <w:top w:val="double" w:sz="4" w:space="0" w:color="auto"/>
              <w:right w:val="double" w:sz="4" w:space="0" w:color="auto"/>
            </w:tcBorders>
            <w:shd w:val="clear" w:color="auto" w:fill="D9D9D9" w:themeFill="background1" w:themeFillShade="D9"/>
          </w:tcPr>
          <w:p w:rsidR="00F3347F" w:rsidRPr="00CF4C4E" w:rsidRDefault="00885F9C" w:rsidP="00CF4C4E">
            <w:pPr>
              <w:rPr>
                <w:sz w:val="20"/>
                <w:szCs w:val="20"/>
                <w:lang w:val="en-GB"/>
              </w:rPr>
            </w:pPr>
            <w:r w:rsidRPr="00CF4C4E">
              <w:rPr>
                <w:sz w:val="20"/>
                <w:szCs w:val="20"/>
                <w:lang w:val="en-GB"/>
              </w:rPr>
              <w:t>Target value in 2022</w:t>
            </w:r>
          </w:p>
        </w:tc>
      </w:tr>
      <w:tr w:rsidR="00A63977" w:rsidRPr="00CF4C4E" w:rsidTr="00CF4C4E">
        <w:trPr>
          <w:trHeight w:val="304"/>
        </w:trPr>
        <w:tc>
          <w:tcPr>
            <w:tcW w:w="2508" w:type="dxa"/>
            <w:tcBorders>
              <w:top w:val="double" w:sz="4" w:space="0" w:color="auto"/>
              <w:bottom w:val="double" w:sz="4" w:space="0" w:color="auto"/>
            </w:tcBorders>
            <w:shd w:val="clear" w:color="auto" w:fill="FFFFFF" w:themeFill="background1"/>
          </w:tcPr>
          <w:p w:rsidR="00A63977" w:rsidRPr="00CF4C4E" w:rsidRDefault="00F700E0" w:rsidP="00CF4C4E">
            <w:pPr>
              <w:tabs>
                <w:tab w:val="left" w:pos="1940"/>
              </w:tabs>
              <w:rPr>
                <w:sz w:val="20"/>
                <w:szCs w:val="20"/>
                <w:lang w:val="en-GB"/>
              </w:rPr>
            </w:pPr>
            <w:r w:rsidRPr="00CF4C4E">
              <w:rPr>
                <w:color w:val="auto"/>
                <w:sz w:val="20"/>
                <w:szCs w:val="20"/>
                <w:lang w:val="en-GB"/>
              </w:rPr>
              <w:t>All planned training events delivered</w:t>
            </w:r>
          </w:p>
        </w:tc>
        <w:tc>
          <w:tcPr>
            <w:tcW w:w="1418" w:type="dxa"/>
            <w:tcBorders>
              <w:top w:val="double" w:sz="4" w:space="0" w:color="auto"/>
              <w:bottom w:val="double" w:sz="4" w:space="0" w:color="auto"/>
            </w:tcBorders>
            <w:shd w:val="clear" w:color="auto" w:fill="FFFFFF" w:themeFill="background1"/>
          </w:tcPr>
          <w:p w:rsidR="00A63977" w:rsidRPr="00CF4C4E" w:rsidRDefault="00A63977" w:rsidP="00CF4C4E">
            <w:pPr>
              <w:tabs>
                <w:tab w:val="left" w:pos="1940"/>
              </w:tabs>
              <w:rPr>
                <w:sz w:val="20"/>
                <w:szCs w:val="20"/>
                <w:lang w:val="en-GB"/>
              </w:rPr>
            </w:pPr>
            <w:r w:rsidRPr="00CF4C4E">
              <w:rPr>
                <w:sz w:val="20"/>
                <w:szCs w:val="20"/>
                <w:lang w:val="en-GB"/>
              </w:rPr>
              <w:t>Yes/No</w:t>
            </w:r>
          </w:p>
        </w:tc>
        <w:tc>
          <w:tcPr>
            <w:tcW w:w="3260" w:type="dxa"/>
            <w:gridSpan w:val="2"/>
            <w:tcBorders>
              <w:top w:val="double" w:sz="4" w:space="0" w:color="auto"/>
              <w:bottom w:val="double" w:sz="4" w:space="0" w:color="auto"/>
            </w:tcBorders>
            <w:shd w:val="clear" w:color="auto" w:fill="FFFFFF" w:themeFill="background1"/>
          </w:tcPr>
          <w:p w:rsidR="00A63977" w:rsidRPr="00CF4C4E" w:rsidRDefault="00A63977" w:rsidP="00CF4C4E">
            <w:pPr>
              <w:tabs>
                <w:tab w:val="left" w:pos="1940"/>
              </w:tabs>
              <w:rPr>
                <w:sz w:val="20"/>
                <w:szCs w:val="20"/>
                <w:lang w:val="en-GB"/>
              </w:rPr>
            </w:pPr>
            <w:r w:rsidRPr="00CF4C4E">
              <w:rPr>
                <w:sz w:val="20"/>
                <w:szCs w:val="20"/>
                <w:lang w:val="en-GB"/>
              </w:rPr>
              <w:t>Reports by competent authorities concerning the progress made in meeting Moneyval recommendations; Moneyval report</w:t>
            </w:r>
          </w:p>
        </w:tc>
        <w:tc>
          <w:tcPr>
            <w:tcW w:w="1276" w:type="dxa"/>
            <w:tcBorders>
              <w:top w:val="double" w:sz="4" w:space="0" w:color="auto"/>
              <w:bottom w:val="double" w:sz="4" w:space="0" w:color="auto"/>
            </w:tcBorders>
            <w:shd w:val="clear" w:color="auto" w:fill="FFFFFF" w:themeFill="background1"/>
          </w:tcPr>
          <w:p w:rsidR="00A63977" w:rsidRPr="00CF4C4E" w:rsidRDefault="00D17BB2" w:rsidP="00CF4C4E">
            <w:pPr>
              <w:tabs>
                <w:tab w:val="left" w:pos="1940"/>
              </w:tabs>
              <w:rPr>
                <w:sz w:val="20"/>
                <w:szCs w:val="20"/>
                <w:lang w:val="en-GB"/>
              </w:rPr>
            </w:pPr>
            <w:r w:rsidRPr="00CF4C4E">
              <w:rPr>
                <w:sz w:val="20"/>
                <w:szCs w:val="20"/>
                <w:lang w:val="en-GB"/>
              </w:rPr>
              <w:t>Yes.</w:t>
            </w:r>
          </w:p>
        </w:tc>
        <w:tc>
          <w:tcPr>
            <w:tcW w:w="1134" w:type="dxa"/>
            <w:tcBorders>
              <w:top w:val="double" w:sz="4" w:space="0" w:color="auto"/>
              <w:bottom w:val="double" w:sz="4" w:space="0" w:color="auto"/>
            </w:tcBorders>
            <w:shd w:val="clear" w:color="auto" w:fill="FFFFFF" w:themeFill="background1"/>
          </w:tcPr>
          <w:p w:rsidR="00A63977" w:rsidRPr="00CF4C4E" w:rsidRDefault="00D17BB2" w:rsidP="00CF4C4E">
            <w:pPr>
              <w:tabs>
                <w:tab w:val="left" w:pos="1940"/>
              </w:tabs>
              <w:rPr>
                <w:sz w:val="20"/>
                <w:szCs w:val="20"/>
                <w:lang w:val="en-GB"/>
              </w:rPr>
            </w:pPr>
            <w:r w:rsidRPr="00CF4C4E">
              <w:rPr>
                <w:sz w:val="20"/>
                <w:szCs w:val="20"/>
                <w:lang w:val="en-GB"/>
              </w:rPr>
              <w:t>2016</w:t>
            </w:r>
          </w:p>
        </w:tc>
        <w:tc>
          <w:tcPr>
            <w:tcW w:w="1417" w:type="dxa"/>
            <w:tcBorders>
              <w:top w:val="double" w:sz="4" w:space="0" w:color="auto"/>
              <w:bottom w:val="double" w:sz="4" w:space="0" w:color="auto"/>
            </w:tcBorders>
            <w:shd w:val="clear" w:color="auto" w:fill="FFFFFF" w:themeFill="background1"/>
          </w:tcPr>
          <w:p w:rsidR="00A63977" w:rsidRPr="00CF4C4E" w:rsidRDefault="00A63977" w:rsidP="00CF4C4E">
            <w:pPr>
              <w:rPr>
                <w:sz w:val="20"/>
                <w:szCs w:val="20"/>
                <w:lang w:val="en-GB"/>
              </w:rPr>
            </w:pPr>
            <w:r w:rsidRPr="00CF4C4E">
              <w:rPr>
                <w:sz w:val="20"/>
                <w:szCs w:val="20"/>
                <w:lang w:val="en-GB"/>
              </w:rPr>
              <w:t>Yes.</w:t>
            </w:r>
          </w:p>
        </w:tc>
        <w:tc>
          <w:tcPr>
            <w:tcW w:w="1559" w:type="dxa"/>
            <w:tcBorders>
              <w:top w:val="double" w:sz="4" w:space="0" w:color="auto"/>
              <w:bottom w:val="double" w:sz="4" w:space="0" w:color="auto"/>
              <w:right w:val="double" w:sz="4" w:space="0" w:color="auto"/>
            </w:tcBorders>
            <w:shd w:val="clear" w:color="auto" w:fill="FFFFFF" w:themeFill="background1"/>
          </w:tcPr>
          <w:p w:rsidR="00A63977" w:rsidRPr="00CF4C4E" w:rsidRDefault="00A63977" w:rsidP="00CF4C4E">
            <w:pPr>
              <w:rPr>
                <w:sz w:val="20"/>
                <w:szCs w:val="20"/>
                <w:lang w:val="en-GB"/>
              </w:rPr>
            </w:pPr>
            <w:r w:rsidRPr="00CF4C4E">
              <w:rPr>
                <w:sz w:val="20"/>
                <w:szCs w:val="20"/>
                <w:lang w:val="en-GB"/>
              </w:rPr>
              <w:t>Yes.</w:t>
            </w:r>
          </w:p>
        </w:tc>
        <w:tc>
          <w:tcPr>
            <w:tcW w:w="1560" w:type="dxa"/>
            <w:tcBorders>
              <w:top w:val="double" w:sz="4" w:space="0" w:color="auto"/>
              <w:bottom w:val="double" w:sz="4" w:space="0" w:color="auto"/>
              <w:right w:val="double" w:sz="4" w:space="0" w:color="auto"/>
            </w:tcBorders>
            <w:shd w:val="clear" w:color="auto" w:fill="FFFFFF" w:themeFill="background1"/>
          </w:tcPr>
          <w:p w:rsidR="00A63977" w:rsidRPr="00CF4C4E" w:rsidRDefault="00A63977" w:rsidP="00CF4C4E">
            <w:pPr>
              <w:rPr>
                <w:sz w:val="20"/>
                <w:szCs w:val="20"/>
                <w:lang w:val="en-GB"/>
              </w:rPr>
            </w:pPr>
            <w:r w:rsidRPr="00CF4C4E">
              <w:rPr>
                <w:sz w:val="20"/>
                <w:szCs w:val="20"/>
                <w:lang w:val="en-GB"/>
              </w:rPr>
              <w:t>Yes.</w:t>
            </w:r>
          </w:p>
        </w:tc>
      </w:tr>
    </w:tbl>
    <w:p w:rsidR="00D57EC4" w:rsidRPr="00CF4C4E" w:rsidRDefault="00D57EC4" w:rsidP="00CF4C4E">
      <w:pPr>
        <w:tabs>
          <w:tab w:val="left" w:pos="1940"/>
        </w:tabs>
        <w:rPr>
          <w:sz w:val="20"/>
          <w:szCs w:val="20"/>
          <w:lang w:val="en-GB"/>
        </w:rPr>
      </w:pPr>
    </w:p>
    <w:tbl>
      <w:tblPr>
        <w:tblStyle w:val="TableGrid"/>
        <w:tblW w:w="5000" w:type="pct"/>
        <w:tblLayout w:type="fixed"/>
        <w:tblLook w:val="04A0"/>
      </w:tblPr>
      <w:tblGrid>
        <w:gridCol w:w="2401"/>
        <w:gridCol w:w="1145"/>
        <w:gridCol w:w="1242"/>
        <w:gridCol w:w="1162"/>
        <w:gridCol w:w="1573"/>
        <w:gridCol w:w="1160"/>
        <w:gridCol w:w="1650"/>
        <w:gridCol w:w="2288"/>
        <w:gridCol w:w="1554"/>
      </w:tblGrid>
      <w:tr w:rsidR="003C0D99" w:rsidRPr="00CF4C4E" w:rsidTr="003C0D99">
        <w:trPr>
          <w:trHeight w:val="140"/>
          <w:tblHeader/>
        </w:trPr>
        <w:tc>
          <w:tcPr>
            <w:tcW w:w="847" w:type="pct"/>
            <w:vMerge w:val="restart"/>
            <w:tcBorders>
              <w:top w:val="double" w:sz="4" w:space="0" w:color="auto"/>
              <w:left w:val="double" w:sz="4" w:space="0" w:color="auto"/>
            </w:tcBorders>
            <w:shd w:val="clear" w:color="auto" w:fill="E5DFEC" w:themeFill="accent4" w:themeFillTint="33"/>
          </w:tcPr>
          <w:p w:rsidR="003C0D99" w:rsidRPr="00CF4C4E" w:rsidRDefault="003C0D99" w:rsidP="00CF4C4E">
            <w:pPr>
              <w:rPr>
                <w:b/>
                <w:color w:val="auto"/>
                <w:sz w:val="20"/>
                <w:szCs w:val="20"/>
                <w:lang w:val="en-GB"/>
              </w:rPr>
            </w:pPr>
            <w:r w:rsidRPr="00CF4C4E">
              <w:rPr>
                <w:b/>
                <w:bCs/>
                <w:color w:val="auto"/>
                <w:sz w:val="20"/>
                <w:szCs w:val="20"/>
                <w:lang w:val="en-GB"/>
              </w:rPr>
              <w:t>Activity title:</w:t>
            </w:r>
          </w:p>
        </w:tc>
        <w:tc>
          <w:tcPr>
            <w:tcW w:w="404" w:type="pct"/>
            <w:vMerge w:val="restart"/>
            <w:tcBorders>
              <w:top w:val="double" w:sz="4" w:space="0" w:color="auto"/>
            </w:tcBorders>
            <w:shd w:val="clear" w:color="auto" w:fill="E5DFEC" w:themeFill="accent4" w:themeFillTint="33"/>
          </w:tcPr>
          <w:p w:rsidR="003C0D99" w:rsidRPr="00CF4C4E" w:rsidRDefault="003C0D99" w:rsidP="00CF4C4E">
            <w:pPr>
              <w:rPr>
                <w:b/>
                <w:color w:val="auto"/>
                <w:sz w:val="20"/>
                <w:szCs w:val="20"/>
                <w:lang w:val="en-GB"/>
              </w:rPr>
            </w:pPr>
            <w:r w:rsidRPr="00CF4C4E">
              <w:rPr>
                <w:b/>
                <w:bCs/>
                <w:color w:val="auto"/>
                <w:sz w:val="20"/>
                <w:szCs w:val="20"/>
                <w:lang w:val="en-GB"/>
              </w:rPr>
              <w:t xml:space="preserve">Authority </w:t>
            </w:r>
            <w:r w:rsidRPr="00CF4C4E">
              <w:rPr>
                <w:b/>
                <w:bCs/>
                <w:color w:val="auto"/>
                <w:sz w:val="20"/>
                <w:szCs w:val="20"/>
                <w:lang w:val="en-GB"/>
              </w:rPr>
              <w:lastRenderedPageBreak/>
              <w:t>implementing the activity</w:t>
            </w:r>
          </w:p>
        </w:tc>
        <w:tc>
          <w:tcPr>
            <w:tcW w:w="438" w:type="pct"/>
            <w:vMerge w:val="restart"/>
            <w:tcBorders>
              <w:top w:val="double" w:sz="4" w:space="0" w:color="auto"/>
            </w:tcBorders>
            <w:shd w:val="clear" w:color="auto" w:fill="E5DFEC" w:themeFill="accent4" w:themeFillTint="33"/>
          </w:tcPr>
          <w:p w:rsidR="003C0D99" w:rsidRPr="00CF4C4E" w:rsidRDefault="003C0D99" w:rsidP="00CF4C4E">
            <w:pPr>
              <w:rPr>
                <w:b/>
                <w:color w:val="auto"/>
                <w:sz w:val="20"/>
                <w:szCs w:val="20"/>
                <w:lang w:val="en-GB"/>
              </w:rPr>
            </w:pPr>
            <w:r w:rsidRPr="00CF4C4E">
              <w:rPr>
                <w:b/>
                <w:bCs/>
                <w:color w:val="auto"/>
                <w:sz w:val="20"/>
                <w:szCs w:val="20"/>
                <w:lang w:val="en-GB"/>
              </w:rPr>
              <w:lastRenderedPageBreak/>
              <w:t xml:space="preserve">Partner </w:t>
            </w:r>
            <w:r w:rsidRPr="00CF4C4E">
              <w:rPr>
                <w:b/>
                <w:bCs/>
                <w:color w:val="auto"/>
                <w:sz w:val="20"/>
                <w:szCs w:val="20"/>
                <w:lang w:val="en-GB"/>
              </w:rPr>
              <w:lastRenderedPageBreak/>
              <w:t>authorities in the implementation of the activity</w:t>
            </w:r>
          </w:p>
        </w:tc>
        <w:tc>
          <w:tcPr>
            <w:tcW w:w="410" w:type="pct"/>
            <w:vMerge w:val="restart"/>
            <w:tcBorders>
              <w:top w:val="double" w:sz="4" w:space="0" w:color="auto"/>
            </w:tcBorders>
            <w:shd w:val="clear" w:color="auto" w:fill="E5DFEC" w:themeFill="accent4" w:themeFillTint="33"/>
          </w:tcPr>
          <w:p w:rsidR="003C0D99" w:rsidRPr="00CF4C4E" w:rsidRDefault="003C0D99" w:rsidP="00CF4C4E">
            <w:pPr>
              <w:jc w:val="center"/>
              <w:rPr>
                <w:b/>
                <w:color w:val="auto"/>
                <w:sz w:val="20"/>
                <w:szCs w:val="20"/>
                <w:lang w:val="en-GB"/>
              </w:rPr>
            </w:pPr>
            <w:r w:rsidRPr="00CF4C4E">
              <w:rPr>
                <w:b/>
                <w:bCs/>
                <w:sz w:val="20"/>
                <w:szCs w:val="20"/>
                <w:lang w:val="en-GB"/>
              </w:rPr>
              <w:lastRenderedPageBreak/>
              <w:t xml:space="preserve">Deadline </w:t>
            </w:r>
            <w:r w:rsidRPr="00CF4C4E">
              <w:rPr>
                <w:b/>
                <w:bCs/>
                <w:sz w:val="20"/>
                <w:szCs w:val="20"/>
                <w:lang w:val="en-GB"/>
              </w:rPr>
              <w:lastRenderedPageBreak/>
              <w:t>for completion of activity</w:t>
            </w:r>
          </w:p>
        </w:tc>
        <w:tc>
          <w:tcPr>
            <w:tcW w:w="555" w:type="pct"/>
            <w:vMerge w:val="restart"/>
            <w:tcBorders>
              <w:top w:val="double" w:sz="4" w:space="0" w:color="auto"/>
            </w:tcBorders>
            <w:shd w:val="clear" w:color="auto" w:fill="E5DFEC" w:themeFill="accent4" w:themeFillTint="33"/>
          </w:tcPr>
          <w:p w:rsidR="003C0D99" w:rsidRPr="00CF4C4E" w:rsidRDefault="003C0D99" w:rsidP="00CF4C4E">
            <w:pPr>
              <w:jc w:val="center"/>
              <w:rPr>
                <w:b/>
                <w:color w:val="auto"/>
                <w:sz w:val="20"/>
                <w:szCs w:val="20"/>
                <w:lang w:val="en-GB"/>
              </w:rPr>
            </w:pPr>
            <w:r w:rsidRPr="00CF4C4E">
              <w:rPr>
                <w:b/>
                <w:bCs/>
                <w:color w:val="auto"/>
                <w:sz w:val="20"/>
                <w:szCs w:val="20"/>
                <w:lang w:val="en-GB"/>
              </w:rPr>
              <w:lastRenderedPageBreak/>
              <w:t xml:space="preserve">Source of </w:t>
            </w:r>
            <w:r w:rsidRPr="00CF4C4E">
              <w:rPr>
                <w:b/>
                <w:bCs/>
                <w:color w:val="auto"/>
                <w:sz w:val="20"/>
                <w:szCs w:val="20"/>
                <w:lang w:val="en-GB"/>
              </w:rPr>
              <w:lastRenderedPageBreak/>
              <w:t>financing</w:t>
            </w:r>
          </w:p>
        </w:tc>
        <w:tc>
          <w:tcPr>
            <w:tcW w:w="409" w:type="pct"/>
            <w:vMerge w:val="restart"/>
            <w:tcBorders>
              <w:top w:val="double" w:sz="4" w:space="0" w:color="auto"/>
            </w:tcBorders>
            <w:shd w:val="clear" w:color="auto" w:fill="E5DFEC" w:themeFill="accent4" w:themeFillTint="33"/>
          </w:tcPr>
          <w:p w:rsidR="003C0D99" w:rsidRPr="00CF4C4E" w:rsidRDefault="003C0D99" w:rsidP="00CF4C4E">
            <w:pPr>
              <w:rPr>
                <w:b/>
                <w:color w:val="auto"/>
                <w:sz w:val="20"/>
                <w:szCs w:val="20"/>
                <w:lang w:val="en-GB"/>
              </w:rPr>
            </w:pPr>
            <w:r w:rsidRPr="00CF4C4E">
              <w:rPr>
                <w:b/>
                <w:bCs/>
                <w:color w:val="auto"/>
                <w:sz w:val="20"/>
                <w:szCs w:val="20"/>
                <w:lang w:val="en-GB"/>
              </w:rPr>
              <w:lastRenderedPageBreak/>
              <w:t xml:space="preserve">Link to </w:t>
            </w:r>
            <w:r w:rsidRPr="00CF4C4E">
              <w:rPr>
                <w:b/>
                <w:bCs/>
                <w:color w:val="auto"/>
                <w:sz w:val="20"/>
                <w:szCs w:val="20"/>
                <w:lang w:val="en-GB"/>
              </w:rPr>
              <w:lastRenderedPageBreak/>
              <w:t>programme budget</w:t>
            </w:r>
          </w:p>
          <w:p w:rsidR="003C0D99" w:rsidRPr="00CF4C4E" w:rsidRDefault="003C0D99" w:rsidP="00CF4C4E">
            <w:pPr>
              <w:jc w:val="center"/>
              <w:rPr>
                <w:b/>
                <w:color w:val="auto"/>
                <w:sz w:val="20"/>
                <w:szCs w:val="20"/>
                <w:lang w:val="en-GB"/>
              </w:rPr>
            </w:pPr>
          </w:p>
        </w:tc>
        <w:tc>
          <w:tcPr>
            <w:tcW w:w="1937" w:type="pct"/>
            <w:gridSpan w:val="3"/>
            <w:tcBorders>
              <w:top w:val="double" w:sz="4" w:space="0" w:color="auto"/>
            </w:tcBorders>
            <w:shd w:val="clear" w:color="auto" w:fill="E5DFEC" w:themeFill="accent4" w:themeFillTint="33"/>
          </w:tcPr>
          <w:p w:rsidR="003C0D99" w:rsidRPr="00CF4C4E" w:rsidRDefault="003C0D99" w:rsidP="00CF4C4E">
            <w:pPr>
              <w:jc w:val="center"/>
              <w:rPr>
                <w:b/>
                <w:color w:val="auto"/>
                <w:sz w:val="20"/>
                <w:szCs w:val="20"/>
                <w:lang w:val="en-GB"/>
              </w:rPr>
            </w:pPr>
            <w:r w:rsidRPr="00CF4C4E">
              <w:rPr>
                <w:b/>
                <w:bCs/>
                <w:color w:val="auto"/>
                <w:sz w:val="20"/>
                <w:szCs w:val="20"/>
                <w:lang w:val="en-GB"/>
              </w:rPr>
              <w:lastRenderedPageBreak/>
              <w:t>Total assessed financial resources by source in RSD 000</w:t>
            </w:r>
          </w:p>
        </w:tc>
      </w:tr>
      <w:tr w:rsidR="001B4CBD" w:rsidRPr="00CF4C4E" w:rsidTr="00C322A1">
        <w:trPr>
          <w:trHeight w:val="386"/>
          <w:tblHeader/>
        </w:trPr>
        <w:tc>
          <w:tcPr>
            <w:tcW w:w="847" w:type="pct"/>
            <w:vMerge/>
            <w:tcBorders>
              <w:left w:val="double" w:sz="4" w:space="0" w:color="auto"/>
            </w:tcBorders>
            <w:shd w:val="clear" w:color="auto" w:fill="E5DFEC" w:themeFill="accent4" w:themeFillTint="33"/>
          </w:tcPr>
          <w:p w:rsidR="001B4CBD" w:rsidRPr="00CF4C4E" w:rsidRDefault="001B4CBD" w:rsidP="00CF4C4E">
            <w:pPr>
              <w:rPr>
                <w:color w:val="auto"/>
                <w:sz w:val="20"/>
                <w:szCs w:val="20"/>
                <w:lang w:val="en-GB"/>
              </w:rPr>
            </w:pPr>
          </w:p>
        </w:tc>
        <w:tc>
          <w:tcPr>
            <w:tcW w:w="404" w:type="pct"/>
            <w:vMerge/>
            <w:shd w:val="clear" w:color="auto" w:fill="E5DFEC" w:themeFill="accent4" w:themeFillTint="33"/>
          </w:tcPr>
          <w:p w:rsidR="001B4CBD" w:rsidRPr="00CF4C4E" w:rsidRDefault="001B4CBD" w:rsidP="00CF4C4E">
            <w:pPr>
              <w:rPr>
                <w:color w:val="auto"/>
                <w:sz w:val="20"/>
                <w:szCs w:val="20"/>
                <w:lang w:val="en-GB"/>
              </w:rPr>
            </w:pPr>
          </w:p>
        </w:tc>
        <w:tc>
          <w:tcPr>
            <w:tcW w:w="438" w:type="pct"/>
            <w:vMerge/>
            <w:shd w:val="clear" w:color="auto" w:fill="E5DFEC" w:themeFill="accent4" w:themeFillTint="33"/>
          </w:tcPr>
          <w:p w:rsidR="001B4CBD" w:rsidRPr="00CF4C4E" w:rsidRDefault="001B4CBD" w:rsidP="00CF4C4E">
            <w:pPr>
              <w:rPr>
                <w:color w:val="auto"/>
                <w:sz w:val="20"/>
                <w:szCs w:val="20"/>
                <w:lang w:val="en-GB"/>
              </w:rPr>
            </w:pPr>
          </w:p>
        </w:tc>
        <w:tc>
          <w:tcPr>
            <w:tcW w:w="410" w:type="pct"/>
            <w:vMerge/>
            <w:shd w:val="clear" w:color="auto" w:fill="E5DFEC" w:themeFill="accent4" w:themeFillTint="33"/>
          </w:tcPr>
          <w:p w:rsidR="001B4CBD" w:rsidRPr="00CF4C4E" w:rsidRDefault="001B4CBD" w:rsidP="00CF4C4E">
            <w:pPr>
              <w:jc w:val="center"/>
              <w:rPr>
                <w:color w:val="auto"/>
                <w:sz w:val="20"/>
                <w:szCs w:val="20"/>
                <w:lang w:val="en-GB"/>
              </w:rPr>
            </w:pPr>
          </w:p>
        </w:tc>
        <w:tc>
          <w:tcPr>
            <w:tcW w:w="555" w:type="pct"/>
            <w:vMerge/>
            <w:shd w:val="clear" w:color="auto" w:fill="E5DFEC" w:themeFill="accent4" w:themeFillTint="33"/>
          </w:tcPr>
          <w:p w:rsidR="001B4CBD" w:rsidRPr="00CF4C4E" w:rsidRDefault="001B4CBD" w:rsidP="00CF4C4E">
            <w:pPr>
              <w:jc w:val="center"/>
              <w:rPr>
                <w:color w:val="auto"/>
                <w:sz w:val="20"/>
                <w:szCs w:val="20"/>
                <w:lang w:val="en-GB"/>
              </w:rPr>
            </w:pPr>
          </w:p>
        </w:tc>
        <w:tc>
          <w:tcPr>
            <w:tcW w:w="409" w:type="pct"/>
            <w:vMerge/>
            <w:shd w:val="clear" w:color="auto" w:fill="E5DFEC" w:themeFill="accent4" w:themeFillTint="33"/>
          </w:tcPr>
          <w:p w:rsidR="001B4CBD" w:rsidRPr="00CF4C4E" w:rsidRDefault="001B4CBD" w:rsidP="00CF4C4E">
            <w:pPr>
              <w:jc w:val="center"/>
              <w:rPr>
                <w:color w:val="auto"/>
                <w:sz w:val="20"/>
                <w:szCs w:val="20"/>
                <w:lang w:val="en-GB"/>
              </w:rPr>
            </w:pPr>
          </w:p>
        </w:tc>
        <w:tc>
          <w:tcPr>
            <w:tcW w:w="582" w:type="pct"/>
            <w:shd w:val="clear" w:color="auto" w:fill="E5DFEC" w:themeFill="accent4" w:themeFillTint="33"/>
          </w:tcPr>
          <w:p w:rsidR="001B4CBD" w:rsidRPr="00CF4C4E" w:rsidRDefault="001B4CBD" w:rsidP="00CF4C4E">
            <w:pPr>
              <w:jc w:val="center"/>
              <w:rPr>
                <w:b/>
                <w:color w:val="auto"/>
                <w:sz w:val="20"/>
                <w:szCs w:val="20"/>
                <w:lang w:val="en-GB"/>
              </w:rPr>
            </w:pPr>
            <w:r w:rsidRPr="00CF4C4E">
              <w:rPr>
                <w:b/>
                <w:bCs/>
                <w:color w:val="auto"/>
                <w:sz w:val="20"/>
                <w:szCs w:val="20"/>
                <w:lang w:val="en-GB"/>
              </w:rPr>
              <w:t>2020</w:t>
            </w:r>
          </w:p>
        </w:tc>
        <w:tc>
          <w:tcPr>
            <w:tcW w:w="807" w:type="pct"/>
            <w:shd w:val="clear" w:color="auto" w:fill="E5DFEC" w:themeFill="accent4" w:themeFillTint="33"/>
          </w:tcPr>
          <w:p w:rsidR="001B4CBD" w:rsidRPr="00CF4C4E" w:rsidRDefault="001B4CBD" w:rsidP="00CF4C4E">
            <w:pPr>
              <w:jc w:val="center"/>
              <w:rPr>
                <w:b/>
                <w:color w:val="auto"/>
                <w:sz w:val="20"/>
                <w:szCs w:val="20"/>
                <w:lang w:val="en-GB"/>
              </w:rPr>
            </w:pPr>
            <w:r w:rsidRPr="00CF4C4E">
              <w:rPr>
                <w:b/>
                <w:bCs/>
                <w:color w:val="auto"/>
                <w:sz w:val="20"/>
                <w:szCs w:val="20"/>
                <w:lang w:val="en-GB"/>
              </w:rPr>
              <w:t>2021</w:t>
            </w:r>
          </w:p>
        </w:tc>
        <w:tc>
          <w:tcPr>
            <w:tcW w:w="548" w:type="pct"/>
            <w:shd w:val="clear" w:color="auto" w:fill="E5DFEC" w:themeFill="accent4" w:themeFillTint="33"/>
          </w:tcPr>
          <w:p w:rsidR="001B4CBD" w:rsidRPr="00CF4C4E" w:rsidRDefault="001B4CBD" w:rsidP="00CF4C4E">
            <w:pPr>
              <w:jc w:val="center"/>
              <w:rPr>
                <w:b/>
                <w:color w:val="auto"/>
                <w:sz w:val="20"/>
                <w:szCs w:val="20"/>
                <w:lang w:val="en-GB"/>
              </w:rPr>
            </w:pPr>
            <w:r w:rsidRPr="00CF4C4E">
              <w:rPr>
                <w:b/>
                <w:bCs/>
                <w:color w:val="auto"/>
                <w:sz w:val="20"/>
                <w:szCs w:val="20"/>
                <w:lang w:val="en-GB"/>
              </w:rPr>
              <w:t>2022</w:t>
            </w:r>
          </w:p>
        </w:tc>
      </w:tr>
      <w:tr w:rsidR="001B4CBD" w:rsidRPr="00CF4C4E" w:rsidTr="00DB3306">
        <w:trPr>
          <w:trHeight w:val="1726"/>
        </w:trPr>
        <w:tc>
          <w:tcPr>
            <w:tcW w:w="847" w:type="pct"/>
            <w:tcBorders>
              <w:left w:val="double" w:sz="4" w:space="0" w:color="auto"/>
            </w:tcBorders>
          </w:tcPr>
          <w:p w:rsidR="00BF25A7" w:rsidRPr="00CF4C4E" w:rsidRDefault="001B4CBD" w:rsidP="00CF4C4E">
            <w:pPr>
              <w:rPr>
                <w:color w:val="auto"/>
                <w:sz w:val="20"/>
                <w:szCs w:val="20"/>
                <w:lang w:val="en-GB"/>
              </w:rPr>
            </w:pPr>
            <w:r w:rsidRPr="00CF4C4E">
              <w:rPr>
                <w:color w:val="auto"/>
                <w:sz w:val="20"/>
                <w:szCs w:val="20"/>
                <w:lang w:val="en-GB"/>
              </w:rPr>
              <w:lastRenderedPageBreak/>
              <w:t>3.3.1. Continuous joint training of police officers and public prosecutors for more efficient identification of proceeds from crime and property with uncertain origin.</w:t>
            </w:r>
          </w:p>
        </w:tc>
        <w:tc>
          <w:tcPr>
            <w:tcW w:w="404" w:type="pct"/>
          </w:tcPr>
          <w:p w:rsidR="001B4CBD" w:rsidRPr="00CF4C4E" w:rsidRDefault="005768D4" w:rsidP="00CF4C4E">
            <w:pPr>
              <w:rPr>
                <w:color w:val="auto"/>
                <w:sz w:val="20"/>
                <w:szCs w:val="20"/>
                <w:lang w:val="en-GB"/>
              </w:rPr>
            </w:pPr>
            <w:r w:rsidRPr="00CF4C4E">
              <w:rPr>
                <w:color w:val="auto"/>
                <w:sz w:val="20"/>
                <w:szCs w:val="20"/>
                <w:lang w:val="en-GB"/>
              </w:rPr>
              <w:t xml:space="preserve">POLA </w:t>
            </w:r>
          </w:p>
        </w:tc>
        <w:tc>
          <w:tcPr>
            <w:tcW w:w="438" w:type="pct"/>
          </w:tcPr>
          <w:p w:rsidR="001B4CBD" w:rsidRPr="00CF4C4E" w:rsidRDefault="005768D4" w:rsidP="00CF4C4E">
            <w:pPr>
              <w:rPr>
                <w:iCs/>
                <w:color w:val="auto"/>
                <w:sz w:val="20"/>
                <w:szCs w:val="20"/>
                <w:lang w:val="en-GB"/>
              </w:rPr>
            </w:pPr>
            <w:r w:rsidRPr="00CF4C4E">
              <w:rPr>
                <w:color w:val="auto"/>
                <w:sz w:val="20"/>
                <w:szCs w:val="20"/>
                <w:lang w:val="en-GB"/>
              </w:rPr>
              <w:t>JA; RPPO; MoI</w:t>
            </w:r>
          </w:p>
        </w:tc>
        <w:tc>
          <w:tcPr>
            <w:tcW w:w="410" w:type="pct"/>
          </w:tcPr>
          <w:p w:rsidR="001B4CBD" w:rsidRPr="00CF4C4E" w:rsidRDefault="00842C31" w:rsidP="00CF4C4E">
            <w:pPr>
              <w:rPr>
                <w:iCs/>
                <w:color w:val="auto"/>
                <w:sz w:val="20"/>
                <w:szCs w:val="20"/>
                <w:lang w:val="en-GB"/>
              </w:rPr>
            </w:pPr>
            <w:r w:rsidRPr="00CF4C4E">
              <w:rPr>
                <w:sz w:val="20"/>
                <w:szCs w:val="20"/>
                <w:lang w:val="en-GB"/>
              </w:rPr>
              <w:t>IV quarter of 2022</w:t>
            </w:r>
          </w:p>
        </w:tc>
        <w:tc>
          <w:tcPr>
            <w:tcW w:w="555" w:type="pct"/>
          </w:tcPr>
          <w:p w:rsidR="00DD68A6" w:rsidRPr="00CF4C4E" w:rsidRDefault="00DD68A6" w:rsidP="00CF4C4E">
            <w:pPr>
              <w:rPr>
                <w:sz w:val="20"/>
                <w:szCs w:val="20"/>
                <w:lang w:val="en-GB"/>
              </w:rPr>
            </w:pPr>
            <w:r w:rsidRPr="00CF4C4E">
              <w:rPr>
                <w:sz w:val="20"/>
                <w:szCs w:val="20"/>
                <w:lang w:val="en-GB"/>
              </w:rPr>
              <w:t>Financed as part of regular activities of staff</w:t>
            </w:r>
          </w:p>
          <w:p w:rsidR="001B4CBD" w:rsidRPr="00CF4C4E" w:rsidRDefault="00A927A4" w:rsidP="00CF4C4E">
            <w:pPr>
              <w:pStyle w:val="basic-paragraph"/>
              <w:spacing w:before="0" w:beforeAutospacing="0" w:after="0" w:afterAutospacing="0"/>
              <w:rPr>
                <w:sz w:val="20"/>
                <w:szCs w:val="20"/>
                <w:lang w:val="en-GB"/>
              </w:rPr>
            </w:pPr>
            <w:r w:rsidRPr="00CF4C4E">
              <w:rPr>
                <w:sz w:val="20"/>
                <w:szCs w:val="20"/>
                <w:lang w:val="en-GB"/>
              </w:rPr>
              <w:t>International donor funds</w:t>
            </w:r>
          </w:p>
        </w:tc>
        <w:tc>
          <w:tcPr>
            <w:tcW w:w="409" w:type="pct"/>
          </w:tcPr>
          <w:p w:rsidR="001B4CBD" w:rsidRPr="00CF4C4E" w:rsidRDefault="001B4CBD" w:rsidP="00CF4C4E">
            <w:pPr>
              <w:rPr>
                <w:color w:val="auto"/>
                <w:sz w:val="20"/>
                <w:szCs w:val="20"/>
                <w:lang w:val="en-GB"/>
              </w:rPr>
            </w:pPr>
          </w:p>
        </w:tc>
        <w:tc>
          <w:tcPr>
            <w:tcW w:w="582" w:type="pct"/>
          </w:tcPr>
          <w:p w:rsidR="001B4CBD" w:rsidRPr="00CF4C4E" w:rsidRDefault="001B4CBD" w:rsidP="00CF4C4E">
            <w:pPr>
              <w:rPr>
                <w:color w:val="auto"/>
                <w:sz w:val="20"/>
                <w:szCs w:val="20"/>
                <w:lang w:val="en-GB"/>
              </w:rPr>
            </w:pPr>
          </w:p>
        </w:tc>
        <w:tc>
          <w:tcPr>
            <w:tcW w:w="807" w:type="pct"/>
          </w:tcPr>
          <w:p w:rsidR="001B4CBD" w:rsidRPr="00CF4C4E" w:rsidRDefault="001B4CBD" w:rsidP="00CF4C4E">
            <w:pPr>
              <w:rPr>
                <w:color w:val="auto"/>
                <w:sz w:val="20"/>
                <w:szCs w:val="20"/>
                <w:lang w:val="en-GB"/>
              </w:rPr>
            </w:pPr>
          </w:p>
        </w:tc>
        <w:tc>
          <w:tcPr>
            <w:tcW w:w="548" w:type="pct"/>
          </w:tcPr>
          <w:p w:rsidR="001B4CBD" w:rsidRPr="00CF4C4E" w:rsidRDefault="001B4CBD" w:rsidP="00CF4C4E">
            <w:pPr>
              <w:rPr>
                <w:color w:val="auto"/>
                <w:sz w:val="20"/>
                <w:szCs w:val="20"/>
                <w:lang w:val="en-GB"/>
              </w:rPr>
            </w:pPr>
          </w:p>
        </w:tc>
      </w:tr>
      <w:tr w:rsidR="001B4CBD" w:rsidRPr="00CF4C4E" w:rsidTr="00C322A1">
        <w:trPr>
          <w:trHeight w:val="140"/>
        </w:trPr>
        <w:tc>
          <w:tcPr>
            <w:tcW w:w="847" w:type="pct"/>
            <w:tcBorders>
              <w:left w:val="double" w:sz="4" w:space="0" w:color="auto"/>
            </w:tcBorders>
          </w:tcPr>
          <w:p w:rsidR="001B4CBD" w:rsidRPr="00CF4C4E" w:rsidRDefault="001B4CBD" w:rsidP="00CF4C4E">
            <w:pPr>
              <w:rPr>
                <w:color w:val="auto"/>
                <w:sz w:val="20"/>
                <w:szCs w:val="20"/>
                <w:lang w:val="en-GB"/>
              </w:rPr>
            </w:pPr>
            <w:r w:rsidRPr="00CF4C4E">
              <w:rPr>
                <w:color w:val="auto"/>
                <w:sz w:val="20"/>
                <w:szCs w:val="20"/>
                <w:lang w:val="en-GB"/>
              </w:rPr>
              <w:t>3.3.2. Development of a manual on identifying and confiscating proceeds from crime and running of (parallel) financial investigations.</w:t>
            </w:r>
          </w:p>
        </w:tc>
        <w:tc>
          <w:tcPr>
            <w:tcW w:w="404" w:type="pct"/>
          </w:tcPr>
          <w:p w:rsidR="001B4CBD" w:rsidRPr="00CF4C4E" w:rsidRDefault="001B4CBD" w:rsidP="00CF4C4E">
            <w:pPr>
              <w:rPr>
                <w:iCs/>
                <w:color w:val="auto"/>
                <w:sz w:val="20"/>
                <w:szCs w:val="20"/>
                <w:lang w:val="en-GB"/>
              </w:rPr>
            </w:pPr>
            <w:r w:rsidRPr="00CF4C4E">
              <w:rPr>
                <w:color w:val="auto"/>
                <w:sz w:val="20"/>
                <w:szCs w:val="20"/>
                <w:lang w:val="en-GB"/>
              </w:rPr>
              <w:t>RPPO</w:t>
            </w:r>
          </w:p>
        </w:tc>
        <w:tc>
          <w:tcPr>
            <w:tcW w:w="438" w:type="pct"/>
          </w:tcPr>
          <w:p w:rsidR="001B4CBD" w:rsidRPr="00CF4C4E" w:rsidRDefault="00842C31" w:rsidP="00CF4C4E">
            <w:pPr>
              <w:rPr>
                <w:iCs/>
                <w:color w:val="auto"/>
                <w:sz w:val="20"/>
                <w:szCs w:val="20"/>
                <w:lang w:val="en-GB"/>
              </w:rPr>
            </w:pPr>
            <w:r w:rsidRPr="00CF4C4E">
              <w:rPr>
                <w:color w:val="auto"/>
                <w:sz w:val="20"/>
                <w:szCs w:val="20"/>
                <w:lang w:val="en-GB"/>
              </w:rPr>
              <w:t>SCC</w:t>
            </w:r>
          </w:p>
        </w:tc>
        <w:tc>
          <w:tcPr>
            <w:tcW w:w="410" w:type="pct"/>
          </w:tcPr>
          <w:p w:rsidR="001B4CBD" w:rsidRPr="00CF4C4E" w:rsidRDefault="00842C31" w:rsidP="00CF4C4E">
            <w:pPr>
              <w:rPr>
                <w:iCs/>
                <w:color w:val="auto"/>
                <w:sz w:val="20"/>
                <w:szCs w:val="20"/>
                <w:lang w:val="en-GB"/>
              </w:rPr>
            </w:pPr>
            <w:r w:rsidRPr="00CF4C4E">
              <w:rPr>
                <w:sz w:val="20"/>
                <w:szCs w:val="20"/>
                <w:lang w:val="en-GB"/>
              </w:rPr>
              <w:t>IV quarter of 2020</w:t>
            </w:r>
          </w:p>
        </w:tc>
        <w:tc>
          <w:tcPr>
            <w:tcW w:w="555" w:type="pct"/>
          </w:tcPr>
          <w:p w:rsidR="00A927A4" w:rsidRPr="00CF4C4E" w:rsidRDefault="00A927A4" w:rsidP="00CF4C4E">
            <w:pPr>
              <w:pStyle w:val="basic-paragraph"/>
              <w:spacing w:before="0" w:beforeAutospacing="0" w:after="0" w:afterAutospacing="0"/>
              <w:rPr>
                <w:sz w:val="20"/>
                <w:szCs w:val="20"/>
                <w:lang w:val="en-GB"/>
              </w:rPr>
            </w:pPr>
            <w:r w:rsidRPr="00CF4C4E">
              <w:rPr>
                <w:sz w:val="20"/>
                <w:szCs w:val="20"/>
                <w:lang w:val="en-GB"/>
              </w:rPr>
              <w:t>International donor funds</w:t>
            </w:r>
          </w:p>
          <w:p w:rsidR="001B4CBD" w:rsidRPr="00CF4C4E" w:rsidRDefault="001B4CBD" w:rsidP="00CF4C4E">
            <w:pPr>
              <w:rPr>
                <w:color w:val="auto"/>
                <w:sz w:val="20"/>
                <w:szCs w:val="20"/>
                <w:lang w:val="en-GB"/>
              </w:rPr>
            </w:pPr>
          </w:p>
        </w:tc>
        <w:tc>
          <w:tcPr>
            <w:tcW w:w="409" w:type="pct"/>
          </w:tcPr>
          <w:p w:rsidR="001B4CBD" w:rsidRPr="00CF4C4E" w:rsidRDefault="001B4CBD" w:rsidP="00CF4C4E">
            <w:pPr>
              <w:rPr>
                <w:color w:val="auto"/>
                <w:sz w:val="20"/>
                <w:szCs w:val="20"/>
                <w:lang w:val="en-GB"/>
              </w:rPr>
            </w:pPr>
          </w:p>
        </w:tc>
        <w:tc>
          <w:tcPr>
            <w:tcW w:w="582" w:type="pct"/>
          </w:tcPr>
          <w:p w:rsidR="001B4CBD" w:rsidRPr="00CF4C4E" w:rsidRDefault="001B4CBD" w:rsidP="00CF4C4E">
            <w:pPr>
              <w:rPr>
                <w:color w:val="auto"/>
                <w:sz w:val="20"/>
                <w:szCs w:val="20"/>
                <w:lang w:val="en-GB"/>
              </w:rPr>
            </w:pPr>
          </w:p>
        </w:tc>
        <w:tc>
          <w:tcPr>
            <w:tcW w:w="807" w:type="pct"/>
          </w:tcPr>
          <w:p w:rsidR="001B4CBD" w:rsidRPr="00CF4C4E" w:rsidRDefault="001B4CBD" w:rsidP="00CF4C4E">
            <w:pPr>
              <w:rPr>
                <w:color w:val="auto"/>
                <w:sz w:val="20"/>
                <w:szCs w:val="20"/>
                <w:lang w:val="en-GB"/>
              </w:rPr>
            </w:pPr>
          </w:p>
        </w:tc>
        <w:tc>
          <w:tcPr>
            <w:tcW w:w="548" w:type="pct"/>
          </w:tcPr>
          <w:p w:rsidR="001B4CBD" w:rsidRPr="00CF4C4E" w:rsidRDefault="001B4CBD" w:rsidP="00CF4C4E">
            <w:pPr>
              <w:rPr>
                <w:color w:val="auto"/>
                <w:sz w:val="20"/>
                <w:szCs w:val="20"/>
                <w:lang w:val="en-GB"/>
              </w:rPr>
            </w:pPr>
          </w:p>
        </w:tc>
      </w:tr>
      <w:tr w:rsidR="001B4CBD" w:rsidRPr="00CF4C4E" w:rsidTr="00C322A1">
        <w:trPr>
          <w:trHeight w:val="140"/>
        </w:trPr>
        <w:tc>
          <w:tcPr>
            <w:tcW w:w="847" w:type="pct"/>
            <w:tcBorders>
              <w:left w:val="double" w:sz="4" w:space="0" w:color="auto"/>
            </w:tcBorders>
          </w:tcPr>
          <w:p w:rsidR="001B4CBD" w:rsidRPr="00CF4C4E" w:rsidRDefault="007450DA" w:rsidP="00CF4C4E">
            <w:pPr>
              <w:rPr>
                <w:color w:val="auto"/>
                <w:sz w:val="20"/>
                <w:szCs w:val="20"/>
                <w:lang w:val="en-GB"/>
              </w:rPr>
            </w:pPr>
            <w:r w:rsidRPr="00CF4C4E">
              <w:rPr>
                <w:color w:val="auto"/>
                <w:sz w:val="20"/>
                <w:szCs w:val="20"/>
                <w:lang w:val="en-GB"/>
              </w:rPr>
              <w:t xml:space="preserve">3.3.3. Continuous joint training of APML, police and public prosecutors for tracing and confiscating illicit proceeds located abroad by using the instruments of international cooperation, especially ARO office, CAMDEN network and Egmont Group. </w:t>
            </w:r>
          </w:p>
        </w:tc>
        <w:tc>
          <w:tcPr>
            <w:tcW w:w="404" w:type="pct"/>
          </w:tcPr>
          <w:p w:rsidR="001B4CBD" w:rsidRPr="00CF4C4E" w:rsidRDefault="005768D4" w:rsidP="00CF4C4E">
            <w:pPr>
              <w:rPr>
                <w:iCs/>
                <w:color w:val="auto"/>
                <w:sz w:val="20"/>
                <w:szCs w:val="20"/>
                <w:lang w:val="en-GB"/>
              </w:rPr>
            </w:pPr>
            <w:r w:rsidRPr="00CF4C4E">
              <w:rPr>
                <w:color w:val="auto"/>
                <w:sz w:val="20"/>
                <w:szCs w:val="20"/>
                <w:lang w:val="en-GB"/>
              </w:rPr>
              <w:t>JA</w:t>
            </w:r>
          </w:p>
        </w:tc>
        <w:tc>
          <w:tcPr>
            <w:tcW w:w="438" w:type="pct"/>
          </w:tcPr>
          <w:p w:rsidR="001B4CBD" w:rsidRPr="00CF4C4E" w:rsidRDefault="007450DA" w:rsidP="00CF4C4E">
            <w:pPr>
              <w:rPr>
                <w:iCs/>
                <w:color w:val="auto"/>
                <w:sz w:val="20"/>
                <w:szCs w:val="20"/>
                <w:lang w:val="en-GB"/>
              </w:rPr>
            </w:pPr>
            <w:r w:rsidRPr="00CF4C4E">
              <w:rPr>
                <w:color w:val="auto"/>
                <w:sz w:val="20"/>
                <w:szCs w:val="20"/>
                <w:lang w:val="en-GB"/>
              </w:rPr>
              <w:t>RPPO, MoI, APML; POOC; HPPO’s of Kraljevo, Belgrade, Nis, Novi Sad</w:t>
            </w:r>
          </w:p>
        </w:tc>
        <w:tc>
          <w:tcPr>
            <w:tcW w:w="410" w:type="pct"/>
          </w:tcPr>
          <w:p w:rsidR="001B4CBD" w:rsidRPr="00CF4C4E" w:rsidRDefault="00842C31" w:rsidP="00CF4C4E">
            <w:pPr>
              <w:rPr>
                <w:iCs/>
                <w:color w:val="auto"/>
                <w:sz w:val="20"/>
                <w:szCs w:val="20"/>
                <w:lang w:val="en-GB"/>
              </w:rPr>
            </w:pPr>
            <w:r w:rsidRPr="00CF4C4E">
              <w:rPr>
                <w:sz w:val="20"/>
                <w:szCs w:val="20"/>
                <w:lang w:val="en-GB"/>
              </w:rPr>
              <w:t>IV quarter of 2022</w:t>
            </w:r>
          </w:p>
        </w:tc>
        <w:tc>
          <w:tcPr>
            <w:tcW w:w="555" w:type="pct"/>
          </w:tcPr>
          <w:p w:rsidR="00DD68A6" w:rsidRPr="00CF4C4E" w:rsidRDefault="00DD68A6" w:rsidP="00CF4C4E">
            <w:pPr>
              <w:rPr>
                <w:sz w:val="20"/>
                <w:szCs w:val="20"/>
                <w:lang w:val="en-GB"/>
              </w:rPr>
            </w:pPr>
            <w:r w:rsidRPr="00CF4C4E">
              <w:rPr>
                <w:sz w:val="20"/>
                <w:szCs w:val="20"/>
                <w:lang w:val="en-GB"/>
              </w:rPr>
              <w:t>Financed as part of regular activities of staff</w:t>
            </w:r>
          </w:p>
          <w:p w:rsidR="00DD68A6" w:rsidRPr="00CF4C4E" w:rsidRDefault="00DD68A6" w:rsidP="00CF4C4E">
            <w:pPr>
              <w:rPr>
                <w:sz w:val="20"/>
                <w:szCs w:val="20"/>
                <w:lang w:val="en-GB"/>
              </w:rPr>
            </w:pPr>
          </w:p>
          <w:p w:rsidR="00A927A4" w:rsidRPr="00CF4C4E" w:rsidRDefault="00A927A4" w:rsidP="00CF4C4E">
            <w:pPr>
              <w:pStyle w:val="basic-paragraph"/>
              <w:spacing w:before="0" w:beforeAutospacing="0" w:after="0" w:afterAutospacing="0"/>
              <w:rPr>
                <w:sz w:val="20"/>
                <w:szCs w:val="20"/>
                <w:lang w:val="en-GB"/>
              </w:rPr>
            </w:pPr>
            <w:r w:rsidRPr="00CF4C4E">
              <w:rPr>
                <w:sz w:val="20"/>
                <w:szCs w:val="20"/>
                <w:lang w:val="en-GB"/>
              </w:rPr>
              <w:t>International donor funds</w:t>
            </w:r>
          </w:p>
          <w:p w:rsidR="001B4CBD" w:rsidRPr="00CF4C4E" w:rsidRDefault="001B4CBD" w:rsidP="00CF4C4E">
            <w:pPr>
              <w:rPr>
                <w:color w:val="auto"/>
                <w:sz w:val="20"/>
                <w:szCs w:val="20"/>
                <w:lang w:val="en-GB"/>
              </w:rPr>
            </w:pPr>
          </w:p>
        </w:tc>
        <w:tc>
          <w:tcPr>
            <w:tcW w:w="409" w:type="pct"/>
          </w:tcPr>
          <w:p w:rsidR="001B4CBD" w:rsidRPr="00CF4C4E" w:rsidRDefault="001B4CBD" w:rsidP="00CF4C4E">
            <w:pPr>
              <w:rPr>
                <w:color w:val="auto"/>
                <w:sz w:val="20"/>
                <w:szCs w:val="20"/>
                <w:lang w:val="en-GB"/>
              </w:rPr>
            </w:pPr>
          </w:p>
        </w:tc>
        <w:tc>
          <w:tcPr>
            <w:tcW w:w="582" w:type="pct"/>
          </w:tcPr>
          <w:p w:rsidR="001B4CBD" w:rsidRPr="00CF4C4E" w:rsidRDefault="001B4CBD" w:rsidP="00CF4C4E">
            <w:pPr>
              <w:rPr>
                <w:color w:val="auto"/>
                <w:sz w:val="20"/>
                <w:szCs w:val="20"/>
                <w:lang w:val="en-GB"/>
              </w:rPr>
            </w:pPr>
          </w:p>
        </w:tc>
        <w:tc>
          <w:tcPr>
            <w:tcW w:w="807" w:type="pct"/>
          </w:tcPr>
          <w:p w:rsidR="001B4CBD" w:rsidRPr="00CF4C4E" w:rsidRDefault="001B4CBD" w:rsidP="00CF4C4E">
            <w:pPr>
              <w:rPr>
                <w:color w:val="auto"/>
                <w:sz w:val="20"/>
                <w:szCs w:val="20"/>
                <w:lang w:val="en-GB"/>
              </w:rPr>
            </w:pPr>
          </w:p>
        </w:tc>
        <w:tc>
          <w:tcPr>
            <w:tcW w:w="548" w:type="pct"/>
          </w:tcPr>
          <w:p w:rsidR="001B4CBD" w:rsidRPr="00CF4C4E" w:rsidRDefault="001B4CBD" w:rsidP="00CF4C4E">
            <w:pPr>
              <w:rPr>
                <w:color w:val="auto"/>
                <w:sz w:val="20"/>
                <w:szCs w:val="20"/>
                <w:lang w:val="en-GB"/>
              </w:rPr>
            </w:pPr>
          </w:p>
        </w:tc>
      </w:tr>
      <w:tr w:rsidR="001B4CBD" w:rsidRPr="00CF4C4E" w:rsidTr="00C322A1">
        <w:trPr>
          <w:trHeight w:val="140"/>
        </w:trPr>
        <w:tc>
          <w:tcPr>
            <w:tcW w:w="847" w:type="pct"/>
            <w:tcBorders>
              <w:left w:val="double" w:sz="4" w:space="0" w:color="auto"/>
            </w:tcBorders>
          </w:tcPr>
          <w:p w:rsidR="001B4CBD" w:rsidRPr="00CF4C4E" w:rsidRDefault="001B4CBD" w:rsidP="00CF4C4E">
            <w:pPr>
              <w:rPr>
                <w:color w:val="auto"/>
                <w:sz w:val="20"/>
                <w:szCs w:val="20"/>
                <w:lang w:val="en-GB"/>
              </w:rPr>
            </w:pPr>
            <w:r w:rsidRPr="00CF4C4E">
              <w:rPr>
                <w:color w:val="auto"/>
                <w:sz w:val="20"/>
                <w:szCs w:val="20"/>
                <w:lang w:val="en-GB"/>
              </w:rPr>
              <w:t>3.3.4 Strengthening capacities of the Directorate for Management of Seized/Confiscated Assets by recruiting an appraiser</w:t>
            </w:r>
          </w:p>
        </w:tc>
        <w:tc>
          <w:tcPr>
            <w:tcW w:w="404" w:type="pct"/>
          </w:tcPr>
          <w:p w:rsidR="001B4CBD" w:rsidRPr="00CF4C4E" w:rsidRDefault="005768D4" w:rsidP="00CF4C4E">
            <w:pPr>
              <w:rPr>
                <w:color w:val="auto"/>
                <w:sz w:val="20"/>
                <w:szCs w:val="20"/>
                <w:lang w:val="en-GB"/>
              </w:rPr>
            </w:pPr>
            <w:r w:rsidRPr="00CF4C4E">
              <w:rPr>
                <w:color w:val="auto"/>
                <w:sz w:val="20"/>
                <w:szCs w:val="20"/>
                <w:lang w:val="en-GB"/>
              </w:rPr>
              <w:t>MoJ-DMSCA</w:t>
            </w:r>
          </w:p>
        </w:tc>
        <w:tc>
          <w:tcPr>
            <w:tcW w:w="438" w:type="pct"/>
          </w:tcPr>
          <w:p w:rsidR="001B4CBD" w:rsidRPr="00CF4C4E" w:rsidRDefault="005768D4" w:rsidP="00CF4C4E">
            <w:pPr>
              <w:rPr>
                <w:iCs/>
                <w:color w:val="auto"/>
                <w:sz w:val="20"/>
                <w:szCs w:val="20"/>
                <w:lang w:val="en-GB"/>
              </w:rPr>
            </w:pPr>
            <w:r w:rsidRPr="00CF4C4E">
              <w:rPr>
                <w:color w:val="auto"/>
                <w:sz w:val="20"/>
                <w:szCs w:val="20"/>
                <w:lang w:val="en-GB"/>
              </w:rPr>
              <w:t>GoS</w:t>
            </w:r>
          </w:p>
        </w:tc>
        <w:tc>
          <w:tcPr>
            <w:tcW w:w="410" w:type="pct"/>
          </w:tcPr>
          <w:p w:rsidR="001B4CBD" w:rsidRPr="00CF4C4E" w:rsidRDefault="00C322A1" w:rsidP="00CF4C4E">
            <w:pPr>
              <w:rPr>
                <w:iCs/>
                <w:color w:val="auto"/>
                <w:sz w:val="20"/>
                <w:szCs w:val="20"/>
                <w:lang w:val="en-GB"/>
              </w:rPr>
            </w:pPr>
            <w:r w:rsidRPr="00CF4C4E">
              <w:rPr>
                <w:sz w:val="20"/>
                <w:szCs w:val="20"/>
                <w:lang w:val="en-GB"/>
              </w:rPr>
              <w:t>IV quarter of 2020</w:t>
            </w:r>
          </w:p>
        </w:tc>
        <w:tc>
          <w:tcPr>
            <w:tcW w:w="555" w:type="pct"/>
          </w:tcPr>
          <w:p w:rsidR="001B4CBD" w:rsidRPr="00CF4C4E" w:rsidRDefault="00DD68A6" w:rsidP="00CF4C4E">
            <w:pPr>
              <w:rPr>
                <w:color w:val="auto"/>
                <w:sz w:val="20"/>
                <w:szCs w:val="20"/>
                <w:lang w:val="en-GB"/>
              </w:rPr>
            </w:pPr>
            <w:r w:rsidRPr="00CF4C4E">
              <w:rPr>
                <w:color w:val="auto"/>
                <w:sz w:val="20"/>
                <w:szCs w:val="20"/>
                <w:lang w:val="en-GB"/>
              </w:rPr>
              <w:t>Republic of Serbia budget</w:t>
            </w:r>
          </w:p>
        </w:tc>
        <w:tc>
          <w:tcPr>
            <w:tcW w:w="409" w:type="pct"/>
          </w:tcPr>
          <w:p w:rsidR="001B4CBD" w:rsidRPr="00CF4C4E" w:rsidRDefault="001B4CBD" w:rsidP="00CF4C4E">
            <w:pPr>
              <w:rPr>
                <w:color w:val="auto"/>
                <w:sz w:val="20"/>
                <w:szCs w:val="20"/>
                <w:lang w:val="en-GB"/>
              </w:rPr>
            </w:pPr>
          </w:p>
        </w:tc>
        <w:tc>
          <w:tcPr>
            <w:tcW w:w="582" w:type="pct"/>
          </w:tcPr>
          <w:p w:rsidR="001B4CBD" w:rsidRPr="00CF4C4E" w:rsidRDefault="001B4CBD" w:rsidP="00CF4C4E">
            <w:pPr>
              <w:rPr>
                <w:color w:val="auto"/>
                <w:sz w:val="20"/>
                <w:szCs w:val="20"/>
                <w:lang w:val="en-GB"/>
              </w:rPr>
            </w:pPr>
          </w:p>
        </w:tc>
        <w:tc>
          <w:tcPr>
            <w:tcW w:w="807" w:type="pct"/>
          </w:tcPr>
          <w:p w:rsidR="001B4CBD" w:rsidRPr="00CF4C4E" w:rsidRDefault="00C322A1" w:rsidP="00CF4C4E">
            <w:pPr>
              <w:rPr>
                <w:color w:val="auto"/>
                <w:sz w:val="20"/>
                <w:szCs w:val="20"/>
                <w:lang w:val="en-GB"/>
              </w:rPr>
            </w:pPr>
            <w:r w:rsidRPr="00CF4C4E">
              <w:rPr>
                <w:color w:val="auto"/>
                <w:sz w:val="20"/>
                <w:szCs w:val="20"/>
                <w:lang w:val="en-GB"/>
              </w:rPr>
              <w:t>Budget of the Directorate for Management of Seized/Confiscated Assets - RSD 960.000 per year, as of 2021 - gross salary NOTE: Assessment made based on the value of an average salary in Serbia</w:t>
            </w:r>
          </w:p>
        </w:tc>
        <w:tc>
          <w:tcPr>
            <w:tcW w:w="548" w:type="pct"/>
          </w:tcPr>
          <w:p w:rsidR="001B4CBD" w:rsidRPr="00CF4C4E" w:rsidRDefault="001B4CBD" w:rsidP="00CF4C4E">
            <w:pPr>
              <w:rPr>
                <w:color w:val="auto"/>
                <w:sz w:val="20"/>
                <w:szCs w:val="20"/>
                <w:lang w:val="en-GB"/>
              </w:rPr>
            </w:pPr>
          </w:p>
        </w:tc>
      </w:tr>
      <w:tr w:rsidR="001B4CBD" w:rsidRPr="00CF4C4E" w:rsidTr="00C322A1">
        <w:trPr>
          <w:trHeight w:val="731"/>
        </w:trPr>
        <w:tc>
          <w:tcPr>
            <w:tcW w:w="847" w:type="pct"/>
            <w:tcBorders>
              <w:left w:val="double" w:sz="4" w:space="0" w:color="auto"/>
            </w:tcBorders>
          </w:tcPr>
          <w:p w:rsidR="001B4CBD" w:rsidRPr="00CF4C4E" w:rsidRDefault="001B4CBD" w:rsidP="00CF4C4E">
            <w:pPr>
              <w:rPr>
                <w:color w:val="auto"/>
                <w:sz w:val="20"/>
                <w:szCs w:val="20"/>
                <w:lang w:val="en-GB"/>
              </w:rPr>
            </w:pPr>
            <w:r w:rsidRPr="00CF4C4E">
              <w:rPr>
                <w:color w:val="auto"/>
                <w:sz w:val="20"/>
                <w:szCs w:val="20"/>
                <w:lang w:val="en-GB"/>
              </w:rPr>
              <w:lastRenderedPageBreak/>
              <w:t xml:space="preserve">3.3.5 Regular delivery of training for assessment and security of the value of proceeds from crime until the final court decision </w:t>
            </w:r>
          </w:p>
        </w:tc>
        <w:tc>
          <w:tcPr>
            <w:tcW w:w="404" w:type="pct"/>
          </w:tcPr>
          <w:p w:rsidR="001B4CBD" w:rsidRPr="00CF4C4E" w:rsidRDefault="005768D4" w:rsidP="00CF4C4E">
            <w:pPr>
              <w:rPr>
                <w:iCs/>
                <w:color w:val="auto"/>
                <w:sz w:val="20"/>
                <w:szCs w:val="20"/>
                <w:lang w:val="en-GB"/>
              </w:rPr>
            </w:pPr>
            <w:r w:rsidRPr="00CF4C4E">
              <w:rPr>
                <w:color w:val="auto"/>
                <w:sz w:val="20"/>
                <w:szCs w:val="20"/>
                <w:lang w:val="en-GB"/>
              </w:rPr>
              <w:t>JA</w:t>
            </w:r>
          </w:p>
        </w:tc>
        <w:tc>
          <w:tcPr>
            <w:tcW w:w="438" w:type="pct"/>
          </w:tcPr>
          <w:p w:rsidR="001B4CBD" w:rsidRPr="00CF4C4E" w:rsidRDefault="00C322A1" w:rsidP="00CF4C4E">
            <w:pPr>
              <w:rPr>
                <w:iCs/>
                <w:color w:val="auto"/>
                <w:sz w:val="20"/>
                <w:szCs w:val="20"/>
                <w:lang w:val="en-GB"/>
              </w:rPr>
            </w:pPr>
            <w:r w:rsidRPr="00CF4C4E">
              <w:rPr>
                <w:color w:val="auto"/>
                <w:sz w:val="20"/>
                <w:szCs w:val="20"/>
                <w:lang w:val="en-GB"/>
              </w:rPr>
              <w:t xml:space="preserve">RPPO; POOC; MoJ-DMSCA; MoJ </w:t>
            </w:r>
          </w:p>
        </w:tc>
        <w:tc>
          <w:tcPr>
            <w:tcW w:w="410" w:type="pct"/>
          </w:tcPr>
          <w:p w:rsidR="001B4CBD" w:rsidRPr="00CF4C4E" w:rsidRDefault="00C322A1" w:rsidP="00CF4C4E">
            <w:pPr>
              <w:rPr>
                <w:iCs/>
                <w:color w:val="auto"/>
                <w:sz w:val="20"/>
                <w:szCs w:val="20"/>
                <w:lang w:val="en-GB"/>
              </w:rPr>
            </w:pPr>
            <w:r w:rsidRPr="00CF4C4E">
              <w:rPr>
                <w:sz w:val="20"/>
                <w:szCs w:val="20"/>
                <w:lang w:val="en-GB"/>
              </w:rPr>
              <w:t>IV quarter of 2022</w:t>
            </w:r>
          </w:p>
        </w:tc>
        <w:tc>
          <w:tcPr>
            <w:tcW w:w="555" w:type="pct"/>
          </w:tcPr>
          <w:p w:rsidR="00DD68A6" w:rsidRPr="00CF4C4E" w:rsidRDefault="00DD68A6" w:rsidP="00CF4C4E">
            <w:pPr>
              <w:rPr>
                <w:sz w:val="20"/>
                <w:szCs w:val="20"/>
                <w:lang w:val="en-GB"/>
              </w:rPr>
            </w:pPr>
            <w:r w:rsidRPr="00CF4C4E">
              <w:rPr>
                <w:sz w:val="20"/>
                <w:szCs w:val="20"/>
                <w:lang w:val="en-GB"/>
              </w:rPr>
              <w:t>Financed as part of regular activities of staff</w:t>
            </w:r>
          </w:p>
          <w:p w:rsidR="001B4CBD" w:rsidRPr="00CF4C4E" w:rsidRDefault="00A927A4" w:rsidP="00CF4C4E">
            <w:pPr>
              <w:pStyle w:val="basic-paragraph"/>
              <w:spacing w:before="0" w:beforeAutospacing="0" w:after="0" w:afterAutospacing="0"/>
              <w:rPr>
                <w:sz w:val="20"/>
                <w:szCs w:val="20"/>
                <w:lang w:val="en-GB"/>
              </w:rPr>
            </w:pPr>
            <w:r w:rsidRPr="00CF4C4E">
              <w:rPr>
                <w:sz w:val="20"/>
                <w:szCs w:val="20"/>
                <w:lang w:val="en-GB"/>
              </w:rPr>
              <w:t>International donor funds</w:t>
            </w:r>
          </w:p>
        </w:tc>
        <w:tc>
          <w:tcPr>
            <w:tcW w:w="409" w:type="pct"/>
          </w:tcPr>
          <w:p w:rsidR="001B4CBD" w:rsidRPr="00CF4C4E" w:rsidRDefault="001B4CBD" w:rsidP="00CF4C4E">
            <w:pPr>
              <w:rPr>
                <w:color w:val="auto"/>
                <w:sz w:val="20"/>
                <w:szCs w:val="20"/>
                <w:lang w:val="en-GB"/>
              </w:rPr>
            </w:pPr>
          </w:p>
        </w:tc>
        <w:tc>
          <w:tcPr>
            <w:tcW w:w="582" w:type="pct"/>
          </w:tcPr>
          <w:p w:rsidR="001B4CBD" w:rsidRPr="00CF4C4E" w:rsidRDefault="001B4CBD" w:rsidP="00CF4C4E">
            <w:pPr>
              <w:rPr>
                <w:color w:val="auto"/>
                <w:sz w:val="20"/>
                <w:szCs w:val="20"/>
                <w:lang w:val="en-GB"/>
              </w:rPr>
            </w:pPr>
          </w:p>
        </w:tc>
        <w:tc>
          <w:tcPr>
            <w:tcW w:w="807" w:type="pct"/>
          </w:tcPr>
          <w:p w:rsidR="001B4CBD" w:rsidRPr="00CF4C4E" w:rsidRDefault="001B4CBD" w:rsidP="00CF4C4E">
            <w:pPr>
              <w:rPr>
                <w:color w:val="auto"/>
                <w:sz w:val="20"/>
                <w:szCs w:val="20"/>
                <w:lang w:val="en-GB"/>
              </w:rPr>
            </w:pPr>
          </w:p>
        </w:tc>
        <w:tc>
          <w:tcPr>
            <w:tcW w:w="548" w:type="pct"/>
          </w:tcPr>
          <w:p w:rsidR="001B4CBD" w:rsidRPr="00CF4C4E" w:rsidRDefault="001B4CBD" w:rsidP="00CF4C4E">
            <w:pPr>
              <w:rPr>
                <w:color w:val="auto"/>
                <w:sz w:val="20"/>
                <w:szCs w:val="20"/>
                <w:lang w:val="en-GB"/>
              </w:rPr>
            </w:pPr>
          </w:p>
          <w:p w:rsidR="001B4CBD" w:rsidRPr="00CF4C4E" w:rsidRDefault="001B4CBD" w:rsidP="00CF4C4E">
            <w:pPr>
              <w:rPr>
                <w:color w:val="auto"/>
                <w:sz w:val="20"/>
                <w:szCs w:val="20"/>
                <w:lang w:val="en-GB"/>
              </w:rPr>
            </w:pPr>
          </w:p>
          <w:p w:rsidR="001B4CBD" w:rsidRPr="00CF4C4E" w:rsidRDefault="001B4CBD" w:rsidP="00CF4C4E">
            <w:pPr>
              <w:rPr>
                <w:color w:val="auto"/>
                <w:sz w:val="20"/>
                <w:szCs w:val="20"/>
                <w:lang w:val="en-GB"/>
              </w:rPr>
            </w:pPr>
          </w:p>
          <w:p w:rsidR="001B4CBD" w:rsidRPr="00CF4C4E" w:rsidRDefault="001B4CBD" w:rsidP="00CF4C4E">
            <w:pPr>
              <w:rPr>
                <w:color w:val="auto"/>
                <w:sz w:val="20"/>
                <w:szCs w:val="20"/>
                <w:lang w:val="en-GB"/>
              </w:rPr>
            </w:pPr>
          </w:p>
          <w:p w:rsidR="001B4CBD" w:rsidRPr="00CF4C4E" w:rsidRDefault="001B4CBD" w:rsidP="00CF4C4E">
            <w:pPr>
              <w:rPr>
                <w:color w:val="auto"/>
                <w:sz w:val="20"/>
                <w:szCs w:val="20"/>
                <w:lang w:val="en-GB"/>
              </w:rPr>
            </w:pPr>
          </w:p>
          <w:p w:rsidR="001B4CBD" w:rsidRPr="00CF4C4E" w:rsidRDefault="001B4CBD" w:rsidP="00CF4C4E">
            <w:pPr>
              <w:rPr>
                <w:color w:val="auto"/>
                <w:sz w:val="20"/>
                <w:szCs w:val="20"/>
                <w:lang w:val="en-GB"/>
              </w:rPr>
            </w:pPr>
          </w:p>
          <w:p w:rsidR="001B4CBD" w:rsidRPr="00CF4C4E" w:rsidRDefault="001B4CBD" w:rsidP="00CF4C4E">
            <w:pPr>
              <w:rPr>
                <w:color w:val="auto"/>
                <w:sz w:val="20"/>
                <w:szCs w:val="20"/>
                <w:lang w:val="en-GB"/>
              </w:rPr>
            </w:pPr>
          </w:p>
        </w:tc>
      </w:tr>
      <w:tr w:rsidR="001B4CBD" w:rsidRPr="00CF4C4E" w:rsidTr="00C322A1">
        <w:trPr>
          <w:trHeight w:val="140"/>
        </w:trPr>
        <w:tc>
          <w:tcPr>
            <w:tcW w:w="847" w:type="pct"/>
            <w:tcBorders>
              <w:left w:val="double" w:sz="4" w:space="0" w:color="auto"/>
            </w:tcBorders>
          </w:tcPr>
          <w:p w:rsidR="001B4CBD" w:rsidRPr="00CF4C4E" w:rsidRDefault="001B4CBD" w:rsidP="00CF4C4E">
            <w:pPr>
              <w:rPr>
                <w:iCs/>
                <w:color w:val="auto"/>
                <w:sz w:val="20"/>
                <w:szCs w:val="20"/>
                <w:lang w:val="en-GB"/>
              </w:rPr>
            </w:pPr>
            <w:r w:rsidRPr="00CF4C4E">
              <w:rPr>
                <w:color w:val="auto"/>
                <w:sz w:val="20"/>
                <w:szCs w:val="20"/>
                <w:lang w:val="en-GB"/>
              </w:rPr>
              <w:t>3.3.6 Analysis of the legal framework for seizure and confiscation of proceeds from crime in criminal proceedings and in proceedings for seizure/confiscation of proceeds from crime, and especially its compliance with FATF recommendations</w:t>
            </w:r>
          </w:p>
        </w:tc>
        <w:tc>
          <w:tcPr>
            <w:tcW w:w="404" w:type="pct"/>
          </w:tcPr>
          <w:p w:rsidR="001B4CBD" w:rsidRPr="00CF4C4E" w:rsidRDefault="005768D4" w:rsidP="00CF4C4E">
            <w:pPr>
              <w:rPr>
                <w:iCs/>
                <w:color w:val="auto"/>
                <w:sz w:val="20"/>
                <w:szCs w:val="20"/>
                <w:lang w:val="en-GB"/>
              </w:rPr>
            </w:pPr>
            <w:r w:rsidRPr="00CF4C4E">
              <w:rPr>
                <w:color w:val="auto"/>
                <w:sz w:val="20"/>
                <w:szCs w:val="20"/>
                <w:lang w:val="en-GB"/>
              </w:rPr>
              <w:t>MoJ</w:t>
            </w:r>
          </w:p>
        </w:tc>
        <w:tc>
          <w:tcPr>
            <w:tcW w:w="438" w:type="pct"/>
          </w:tcPr>
          <w:p w:rsidR="001B4CBD" w:rsidRPr="00CF4C4E" w:rsidRDefault="001B4CBD" w:rsidP="00CF4C4E">
            <w:pPr>
              <w:rPr>
                <w:iCs/>
                <w:color w:val="auto"/>
                <w:sz w:val="20"/>
                <w:szCs w:val="20"/>
                <w:lang w:val="en-GB"/>
              </w:rPr>
            </w:pPr>
            <w:r w:rsidRPr="00CF4C4E">
              <w:rPr>
                <w:color w:val="auto"/>
                <w:sz w:val="20"/>
                <w:szCs w:val="20"/>
                <w:lang w:val="en-GB"/>
              </w:rPr>
              <w:t>RPPO, Supreme Court of Cassation, Prosecutor’s Office for Organised Crime</w:t>
            </w:r>
          </w:p>
        </w:tc>
        <w:tc>
          <w:tcPr>
            <w:tcW w:w="410" w:type="pct"/>
          </w:tcPr>
          <w:p w:rsidR="001B4CBD" w:rsidRPr="00CF4C4E" w:rsidRDefault="000553F1" w:rsidP="00CF4C4E">
            <w:pPr>
              <w:rPr>
                <w:iCs/>
                <w:color w:val="auto"/>
                <w:sz w:val="20"/>
                <w:szCs w:val="20"/>
                <w:lang w:val="en-GB"/>
              </w:rPr>
            </w:pPr>
            <w:r w:rsidRPr="00CF4C4E">
              <w:rPr>
                <w:sz w:val="20"/>
                <w:szCs w:val="20"/>
                <w:lang w:val="en-GB"/>
              </w:rPr>
              <w:t>IV quarter of 2022</w:t>
            </w:r>
            <w:r w:rsidRPr="00CF4C4E">
              <w:rPr>
                <w:color w:val="auto"/>
                <w:sz w:val="20"/>
                <w:szCs w:val="20"/>
                <w:lang w:val="en-GB"/>
              </w:rPr>
              <w:t xml:space="preserve"> </w:t>
            </w:r>
          </w:p>
        </w:tc>
        <w:tc>
          <w:tcPr>
            <w:tcW w:w="555" w:type="pct"/>
          </w:tcPr>
          <w:p w:rsidR="00DD68A6" w:rsidRPr="00CF4C4E" w:rsidRDefault="00DD68A6" w:rsidP="00CF4C4E">
            <w:pPr>
              <w:rPr>
                <w:sz w:val="20"/>
                <w:szCs w:val="20"/>
                <w:lang w:val="en-GB"/>
              </w:rPr>
            </w:pPr>
            <w:r w:rsidRPr="00CF4C4E">
              <w:rPr>
                <w:sz w:val="20"/>
                <w:szCs w:val="20"/>
                <w:lang w:val="en-GB"/>
              </w:rPr>
              <w:t>Financed as part of regular activities of staff</w:t>
            </w:r>
          </w:p>
          <w:p w:rsidR="001B4CBD" w:rsidRPr="00CF4C4E" w:rsidRDefault="001B4CBD" w:rsidP="00CF4C4E">
            <w:pPr>
              <w:rPr>
                <w:color w:val="auto"/>
                <w:sz w:val="20"/>
                <w:szCs w:val="20"/>
                <w:lang w:val="en-GB"/>
              </w:rPr>
            </w:pPr>
          </w:p>
        </w:tc>
        <w:tc>
          <w:tcPr>
            <w:tcW w:w="409" w:type="pct"/>
          </w:tcPr>
          <w:p w:rsidR="001B4CBD" w:rsidRPr="00CF4C4E" w:rsidRDefault="001B4CBD" w:rsidP="00CF4C4E">
            <w:pPr>
              <w:rPr>
                <w:color w:val="auto"/>
                <w:sz w:val="20"/>
                <w:szCs w:val="20"/>
                <w:lang w:val="en-GB"/>
              </w:rPr>
            </w:pPr>
          </w:p>
        </w:tc>
        <w:tc>
          <w:tcPr>
            <w:tcW w:w="582" w:type="pct"/>
          </w:tcPr>
          <w:p w:rsidR="001B4CBD" w:rsidRPr="00CF4C4E" w:rsidRDefault="001B4CBD" w:rsidP="00CF4C4E">
            <w:pPr>
              <w:rPr>
                <w:color w:val="auto"/>
                <w:sz w:val="20"/>
                <w:szCs w:val="20"/>
                <w:lang w:val="en-GB"/>
              </w:rPr>
            </w:pPr>
          </w:p>
        </w:tc>
        <w:tc>
          <w:tcPr>
            <w:tcW w:w="807" w:type="pct"/>
          </w:tcPr>
          <w:p w:rsidR="001B4CBD" w:rsidRPr="00CF4C4E" w:rsidRDefault="001B4CBD" w:rsidP="00CF4C4E">
            <w:pPr>
              <w:rPr>
                <w:color w:val="auto"/>
                <w:sz w:val="20"/>
                <w:szCs w:val="20"/>
                <w:lang w:val="en-GB"/>
              </w:rPr>
            </w:pPr>
          </w:p>
        </w:tc>
        <w:tc>
          <w:tcPr>
            <w:tcW w:w="548" w:type="pct"/>
          </w:tcPr>
          <w:p w:rsidR="001B4CBD" w:rsidRPr="00CF4C4E" w:rsidRDefault="001B4CBD" w:rsidP="00CF4C4E">
            <w:pPr>
              <w:rPr>
                <w:color w:val="auto"/>
                <w:sz w:val="20"/>
                <w:szCs w:val="20"/>
                <w:lang w:val="en-GB"/>
              </w:rPr>
            </w:pPr>
          </w:p>
        </w:tc>
      </w:tr>
    </w:tbl>
    <w:p w:rsidR="00864498" w:rsidRPr="00CF4C4E" w:rsidRDefault="00864498" w:rsidP="00CF4C4E">
      <w:pPr>
        <w:tabs>
          <w:tab w:val="left" w:pos="1940"/>
        </w:tabs>
        <w:rPr>
          <w:sz w:val="20"/>
          <w:szCs w:val="20"/>
          <w:lang w:val="en-GB"/>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8"/>
        <w:gridCol w:w="1296"/>
        <w:gridCol w:w="2125"/>
        <w:gridCol w:w="1242"/>
        <w:gridCol w:w="1698"/>
        <w:gridCol w:w="1375"/>
        <w:gridCol w:w="1638"/>
        <w:gridCol w:w="1565"/>
      </w:tblGrid>
      <w:tr w:rsidR="00FC4AE1" w:rsidRPr="00CF4C4E" w:rsidTr="00C11F8E">
        <w:trPr>
          <w:trHeight w:val="320"/>
        </w:trPr>
        <w:tc>
          <w:tcPr>
            <w:tcW w:w="5000" w:type="pct"/>
            <w:gridSpan w:val="8"/>
            <w:tcBorders>
              <w:top w:val="double" w:sz="4" w:space="0" w:color="auto"/>
              <w:right w:val="double" w:sz="4" w:space="0" w:color="auto"/>
            </w:tcBorders>
            <w:shd w:val="clear" w:color="auto" w:fill="FBD4B4" w:themeFill="accent6" w:themeFillTint="66"/>
            <w:vAlign w:val="center"/>
          </w:tcPr>
          <w:p w:rsidR="00FC4AE1" w:rsidRPr="00CF4C4E" w:rsidRDefault="00FC4AE1" w:rsidP="00CF4C4E">
            <w:pPr>
              <w:pStyle w:val="Heading2"/>
              <w:spacing w:before="0" w:beforeAutospacing="0" w:after="0" w:afterAutospacing="0"/>
              <w:rPr>
                <w:sz w:val="20"/>
                <w:szCs w:val="20"/>
                <w:lang w:val="en-GB"/>
              </w:rPr>
            </w:pPr>
            <w:bookmarkStart w:id="14" w:name="_Toc32409918"/>
            <w:r w:rsidRPr="00CF4C4E">
              <w:rPr>
                <w:sz w:val="20"/>
                <w:szCs w:val="20"/>
                <w:lang w:val="en-GB"/>
              </w:rPr>
              <w:t>Specific objective 4:</w:t>
            </w:r>
            <w:r w:rsidRPr="00CF4C4E">
              <w:rPr>
                <w:b w:val="0"/>
                <w:bCs w:val="0"/>
                <w:sz w:val="20"/>
                <w:szCs w:val="20"/>
                <w:lang w:val="en-GB"/>
              </w:rPr>
              <w:t xml:space="preserve"> </w:t>
            </w:r>
            <w:r w:rsidRPr="00CF4C4E">
              <w:rPr>
                <w:sz w:val="20"/>
                <w:szCs w:val="20"/>
                <w:lang w:val="en-GB"/>
              </w:rPr>
              <w:t>Detect and eliminate terrorism financing threats and sanction terrorist financiers</w:t>
            </w:r>
            <w:bookmarkEnd w:id="14"/>
          </w:p>
        </w:tc>
      </w:tr>
      <w:tr w:rsidR="00FC4AE1" w:rsidRPr="00CF4C4E" w:rsidTr="00C11F8E">
        <w:trPr>
          <w:trHeight w:val="320"/>
        </w:trPr>
        <w:tc>
          <w:tcPr>
            <w:tcW w:w="5000" w:type="pct"/>
            <w:gridSpan w:val="8"/>
            <w:tcBorders>
              <w:top w:val="double" w:sz="4" w:space="0" w:color="auto"/>
              <w:right w:val="double" w:sz="4" w:space="0" w:color="auto"/>
            </w:tcBorders>
            <w:shd w:val="clear" w:color="auto" w:fill="FBD4B4" w:themeFill="accent6" w:themeFillTint="66"/>
            <w:vAlign w:val="center"/>
          </w:tcPr>
          <w:p w:rsidR="00FC4AE1" w:rsidRPr="00CF4C4E" w:rsidRDefault="00FC4AE1" w:rsidP="00CF4C4E">
            <w:pPr>
              <w:rPr>
                <w:sz w:val="20"/>
                <w:szCs w:val="20"/>
                <w:lang w:val="en-GB"/>
              </w:rPr>
            </w:pPr>
            <w:r w:rsidRPr="00CF4C4E">
              <w:rPr>
                <w:rFonts w:eastAsia="Times New Roman"/>
                <w:sz w:val="20"/>
                <w:szCs w:val="20"/>
                <w:lang w:val="en-GB"/>
              </w:rPr>
              <w:t>Institution responsible for monitoring and control of implementation: Coordination Body for the Prevention of Money Laundering and the Financing of Terrorism (AML/CFT Coordination Body)</w:t>
            </w:r>
          </w:p>
        </w:tc>
      </w:tr>
      <w:tr w:rsidR="00F3347F" w:rsidRPr="00CF4C4E" w:rsidTr="00DB3306">
        <w:trPr>
          <w:trHeight w:val="575"/>
        </w:trPr>
        <w:tc>
          <w:tcPr>
            <w:tcW w:w="1134" w:type="pct"/>
            <w:tcBorders>
              <w:top w:val="double" w:sz="4" w:space="0" w:color="auto"/>
            </w:tcBorders>
            <w:shd w:val="clear" w:color="auto" w:fill="D9D9D9"/>
            <w:vAlign w:val="center"/>
          </w:tcPr>
          <w:p w:rsidR="00F3347F" w:rsidRPr="00CF4C4E" w:rsidRDefault="00F3347F" w:rsidP="00CF4C4E">
            <w:pPr>
              <w:rPr>
                <w:sz w:val="20"/>
                <w:szCs w:val="20"/>
                <w:lang w:val="en-GB"/>
              </w:rPr>
            </w:pPr>
            <w:r w:rsidRPr="00CF4C4E">
              <w:rPr>
                <w:sz w:val="20"/>
                <w:szCs w:val="20"/>
                <w:lang w:val="en-GB"/>
              </w:rPr>
              <w:t>Indicator(s) at the level of the specific objective (indicator of outcome)</w:t>
            </w:r>
          </w:p>
        </w:tc>
        <w:tc>
          <w:tcPr>
            <w:tcW w:w="458" w:type="pct"/>
            <w:tcBorders>
              <w:top w:val="double" w:sz="4" w:space="0" w:color="auto"/>
            </w:tcBorders>
            <w:shd w:val="clear" w:color="auto" w:fill="D9D9D9"/>
            <w:vAlign w:val="center"/>
          </w:tcPr>
          <w:p w:rsidR="00F3347F" w:rsidRPr="00CF4C4E" w:rsidRDefault="00F3347F" w:rsidP="00CF4C4E">
            <w:pPr>
              <w:rPr>
                <w:sz w:val="20"/>
                <w:szCs w:val="20"/>
                <w:lang w:val="en-GB"/>
              </w:rPr>
            </w:pPr>
            <w:r w:rsidRPr="00CF4C4E">
              <w:rPr>
                <w:sz w:val="20"/>
                <w:szCs w:val="20"/>
                <w:lang w:val="en-GB"/>
              </w:rPr>
              <w:t>Unit of measurement</w:t>
            </w:r>
          </w:p>
          <w:p w:rsidR="00F3347F" w:rsidRPr="00CF4C4E" w:rsidRDefault="00F3347F" w:rsidP="00CF4C4E">
            <w:pPr>
              <w:rPr>
                <w:sz w:val="20"/>
                <w:szCs w:val="20"/>
                <w:lang w:val="en-GB"/>
              </w:rPr>
            </w:pPr>
          </w:p>
        </w:tc>
        <w:tc>
          <w:tcPr>
            <w:tcW w:w="751" w:type="pct"/>
            <w:tcBorders>
              <w:top w:val="double" w:sz="4" w:space="0" w:color="auto"/>
            </w:tcBorders>
            <w:shd w:val="clear" w:color="auto" w:fill="D9D9D9"/>
            <w:vAlign w:val="center"/>
          </w:tcPr>
          <w:p w:rsidR="00F3347F" w:rsidRPr="00CF4C4E" w:rsidRDefault="00F3347F" w:rsidP="00CF4C4E">
            <w:pPr>
              <w:rPr>
                <w:sz w:val="20"/>
                <w:szCs w:val="20"/>
                <w:lang w:val="en-GB"/>
              </w:rPr>
            </w:pPr>
            <w:r w:rsidRPr="00CF4C4E">
              <w:rPr>
                <w:sz w:val="20"/>
                <w:szCs w:val="20"/>
                <w:lang w:val="en-GB"/>
              </w:rPr>
              <w:t>Source of verification</w:t>
            </w:r>
          </w:p>
        </w:tc>
        <w:tc>
          <w:tcPr>
            <w:tcW w:w="439" w:type="pct"/>
            <w:tcBorders>
              <w:top w:val="double" w:sz="4" w:space="0" w:color="auto"/>
            </w:tcBorders>
            <w:shd w:val="clear" w:color="auto" w:fill="D9D9D9"/>
            <w:vAlign w:val="center"/>
          </w:tcPr>
          <w:p w:rsidR="00F3347F" w:rsidRPr="00CF4C4E" w:rsidRDefault="00F3347F" w:rsidP="00CF4C4E">
            <w:pPr>
              <w:rPr>
                <w:sz w:val="20"/>
                <w:szCs w:val="20"/>
                <w:lang w:val="en-GB"/>
              </w:rPr>
            </w:pPr>
            <w:r w:rsidRPr="00CF4C4E">
              <w:rPr>
                <w:sz w:val="20"/>
                <w:szCs w:val="20"/>
                <w:lang w:val="en-GB"/>
              </w:rPr>
              <w:t xml:space="preserve">Base value </w:t>
            </w:r>
          </w:p>
        </w:tc>
        <w:tc>
          <w:tcPr>
            <w:tcW w:w="600" w:type="pct"/>
            <w:tcBorders>
              <w:top w:val="double" w:sz="4" w:space="0" w:color="auto"/>
            </w:tcBorders>
            <w:shd w:val="clear" w:color="auto" w:fill="D9D9D9"/>
            <w:vAlign w:val="center"/>
          </w:tcPr>
          <w:p w:rsidR="00F3347F" w:rsidRPr="00CF4C4E" w:rsidRDefault="00F3347F" w:rsidP="00CF4C4E">
            <w:pPr>
              <w:rPr>
                <w:sz w:val="20"/>
                <w:szCs w:val="20"/>
                <w:lang w:val="en-GB"/>
              </w:rPr>
            </w:pPr>
            <w:r w:rsidRPr="00CF4C4E">
              <w:rPr>
                <w:sz w:val="20"/>
                <w:szCs w:val="20"/>
                <w:lang w:val="en-GB"/>
              </w:rPr>
              <w:t>Base year</w:t>
            </w:r>
          </w:p>
        </w:tc>
        <w:tc>
          <w:tcPr>
            <w:tcW w:w="486" w:type="pct"/>
            <w:tcBorders>
              <w:top w:val="double" w:sz="4" w:space="0" w:color="auto"/>
            </w:tcBorders>
            <w:shd w:val="clear" w:color="auto" w:fill="D9D9D9"/>
          </w:tcPr>
          <w:p w:rsidR="00F3347F" w:rsidRPr="00CF4C4E" w:rsidRDefault="00F3347F" w:rsidP="00CF4C4E">
            <w:pPr>
              <w:rPr>
                <w:sz w:val="20"/>
                <w:szCs w:val="20"/>
                <w:lang w:val="en-GB"/>
              </w:rPr>
            </w:pPr>
            <w:r w:rsidRPr="00CF4C4E">
              <w:rPr>
                <w:sz w:val="20"/>
                <w:szCs w:val="20"/>
                <w:lang w:val="en-GB"/>
              </w:rPr>
              <w:t>Target value in 2020</w:t>
            </w:r>
          </w:p>
        </w:tc>
        <w:tc>
          <w:tcPr>
            <w:tcW w:w="579" w:type="pct"/>
            <w:tcBorders>
              <w:top w:val="double" w:sz="4" w:space="0" w:color="auto"/>
            </w:tcBorders>
            <w:shd w:val="clear" w:color="auto" w:fill="D9D9D9"/>
          </w:tcPr>
          <w:p w:rsidR="00F3347F" w:rsidRPr="00CF4C4E" w:rsidRDefault="00F3347F" w:rsidP="00CF4C4E">
            <w:pPr>
              <w:rPr>
                <w:sz w:val="20"/>
                <w:szCs w:val="20"/>
                <w:lang w:val="en-GB"/>
              </w:rPr>
            </w:pPr>
            <w:r w:rsidRPr="00CF4C4E">
              <w:rPr>
                <w:sz w:val="20"/>
                <w:szCs w:val="20"/>
                <w:lang w:val="en-GB"/>
              </w:rPr>
              <w:t>Target value in 2021</w:t>
            </w:r>
          </w:p>
        </w:tc>
        <w:tc>
          <w:tcPr>
            <w:tcW w:w="553" w:type="pct"/>
            <w:tcBorders>
              <w:top w:val="double" w:sz="4" w:space="0" w:color="auto"/>
              <w:right w:val="double" w:sz="4" w:space="0" w:color="auto"/>
            </w:tcBorders>
            <w:shd w:val="clear" w:color="auto" w:fill="D9D9D9"/>
          </w:tcPr>
          <w:p w:rsidR="00F3347F" w:rsidRPr="00CF4C4E" w:rsidRDefault="00885F9C" w:rsidP="00CF4C4E">
            <w:pPr>
              <w:rPr>
                <w:sz w:val="20"/>
                <w:szCs w:val="20"/>
                <w:lang w:val="en-GB"/>
              </w:rPr>
            </w:pPr>
            <w:r w:rsidRPr="00CF4C4E">
              <w:rPr>
                <w:sz w:val="20"/>
                <w:szCs w:val="20"/>
                <w:lang w:val="en-GB"/>
              </w:rPr>
              <w:t>Target value in 2022</w:t>
            </w:r>
          </w:p>
        </w:tc>
      </w:tr>
      <w:tr w:rsidR="00FC4AE1" w:rsidRPr="00CF4C4E" w:rsidTr="00DB3306">
        <w:trPr>
          <w:trHeight w:val="254"/>
        </w:trPr>
        <w:tc>
          <w:tcPr>
            <w:tcW w:w="1134" w:type="pct"/>
            <w:tcBorders>
              <w:top w:val="double" w:sz="4" w:space="0" w:color="auto"/>
            </w:tcBorders>
            <w:shd w:val="clear" w:color="auto" w:fill="FFFFFF"/>
            <w:vAlign w:val="center"/>
          </w:tcPr>
          <w:p w:rsidR="00FC4AE1" w:rsidRPr="00CF4C4E" w:rsidRDefault="009A6D0D" w:rsidP="00CF4C4E">
            <w:pPr>
              <w:shd w:val="clear" w:color="auto" w:fill="FFFFFF"/>
              <w:rPr>
                <w:sz w:val="20"/>
                <w:szCs w:val="20"/>
                <w:lang w:val="en-GB"/>
              </w:rPr>
            </w:pPr>
            <w:r w:rsidRPr="00CF4C4E">
              <w:rPr>
                <w:sz w:val="20"/>
                <w:szCs w:val="20"/>
                <w:lang w:val="en-GB"/>
              </w:rPr>
              <w:t>Progress in achieving immediate outcomes 9-11 under FATF Methodology</w:t>
            </w:r>
          </w:p>
        </w:tc>
        <w:tc>
          <w:tcPr>
            <w:tcW w:w="458" w:type="pct"/>
            <w:tcBorders>
              <w:top w:val="double" w:sz="4" w:space="0" w:color="auto"/>
            </w:tcBorders>
            <w:shd w:val="clear" w:color="auto" w:fill="FFFFFF"/>
            <w:vAlign w:val="center"/>
          </w:tcPr>
          <w:p w:rsidR="00FC4AE1" w:rsidRPr="00CF4C4E" w:rsidRDefault="009A6D0D" w:rsidP="00CF4C4E">
            <w:pPr>
              <w:shd w:val="clear" w:color="auto" w:fill="FFFFFF"/>
              <w:rPr>
                <w:sz w:val="20"/>
                <w:szCs w:val="20"/>
                <w:lang w:val="en-GB"/>
              </w:rPr>
            </w:pPr>
            <w:r w:rsidRPr="00CF4C4E">
              <w:rPr>
                <w:sz w:val="20"/>
                <w:szCs w:val="20"/>
                <w:lang w:val="en-GB"/>
              </w:rPr>
              <w:t>Yes/No</w:t>
            </w:r>
          </w:p>
        </w:tc>
        <w:tc>
          <w:tcPr>
            <w:tcW w:w="751" w:type="pct"/>
            <w:tcBorders>
              <w:top w:val="double" w:sz="4" w:space="0" w:color="auto"/>
            </w:tcBorders>
            <w:shd w:val="clear" w:color="auto" w:fill="FFFFFF"/>
            <w:vAlign w:val="center"/>
          </w:tcPr>
          <w:p w:rsidR="00FC4AE1" w:rsidRPr="00CF4C4E" w:rsidRDefault="009A6D0D" w:rsidP="00CF4C4E">
            <w:pPr>
              <w:shd w:val="clear" w:color="auto" w:fill="FFFFFF"/>
              <w:rPr>
                <w:sz w:val="20"/>
                <w:szCs w:val="20"/>
                <w:lang w:val="en-GB"/>
              </w:rPr>
            </w:pPr>
            <w:r w:rsidRPr="00CF4C4E">
              <w:rPr>
                <w:sz w:val="20"/>
                <w:szCs w:val="20"/>
                <w:lang w:val="en-GB"/>
              </w:rPr>
              <w:t>Reports by competent authorities;</w:t>
            </w:r>
          </w:p>
          <w:p w:rsidR="009A6D0D" w:rsidRPr="00CF4C4E" w:rsidRDefault="009A6D0D" w:rsidP="00CF4C4E">
            <w:pPr>
              <w:shd w:val="clear" w:color="auto" w:fill="FFFFFF"/>
              <w:rPr>
                <w:sz w:val="20"/>
                <w:szCs w:val="20"/>
                <w:lang w:val="en-GB"/>
              </w:rPr>
            </w:pPr>
            <w:r w:rsidRPr="00CF4C4E">
              <w:rPr>
                <w:sz w:val="20"/>
                <w:szCs w:val="20"/>
                <w:lang w:val="en-GB"/>
              </w:rPr>
              <w:t>Moneyval Report</w:t>
            </w:r>
          </w:p>
        </w:tc>
        <w:tc>
          <w:tcPr>
            <w:tcW w:w="439" w:type="pct"/>
            <w:tcBorders>
              <w:top w:val="double" w:sz="4" w:space="0" w:color="auto"/>
            </w:tcBorders>
            <w:shd w:val="clear" w:color="auto" w:fill="FFFFFF"/>
            <w:vAlign w:val="center"/>
          </w:tcPr>
          <w:p w:rsidR="00FC4AE1" w:rsidRPr="00CF4C4E" w:rsidRDefault="009A6D0D" w:rsidP="00CF4C4E">
            <w:pPr>
              <w:shd w:val="clear" w:color="auto" w:fill="FFFFFF"/>
              <w:rPr>
                <w:sz w:val="20"/>
                <w:szCs w:val="20"/>
                <w:lang w:val="en-GB"/>
              </w:rPr>
            </w:pPr>
            <w:r w:rsidRPr="00CF4C4E">
              <w:rPr>
                <w:sz w:val="20"/>
                <w:szCs w:val="20"/>
                <w:lang w:val="en-GB"/>
              </w:rPr>
              <w:t>Yes.</w:t>
            </w:r>
          </w:p>
        </w:tc>
        <w:tc>
          <w:tcPr>
            <w:tcW w:w="600" w:type="pct"/>
            <w:tcBorders>
              <w:top w:val="double" w:sz="4" w:space="0" w:color="auto"/>
            </w:tcBorders>
            <w:shd w:val="clear" w:color="auto" w:fill="FFFFFF"/>
            <w:vAlign w:val="center"/>
          </w:tcPr>
          <w:p w:rsidR="00FC4AE1" w:rsidRPr="00CF4C4E" w:rsidRDefault="009A6D0D" w:rsidP="00CF4C4E">
            <w:pPr>
              <w:shd w:val="clear" w:color="auto" w:fill="FFFFFF"/>
              <w:rPr>
                <w:sz w:val="20"/>
                <w:szCs w:val="20"/>
                <w:lang w:val="en-GB"/>
              </w:rPr>
            </w:pPr>
            <w:r w:rsidRPr="00CF4C4E">
              <w:rPr>
                <w:sz w:val="20"/>
                <w:szCs w:val="20"/>
                <w:lang w:val="en-GB"/>
              </w:rPr>
              <w:t>2019</w:t>
            </w:r>
          </w:p>
        </w:tc>
        <w:tc>
          <w:tcPr>
            <w:tcW w:w="486" w:type="pct"/>
            <w:tcBorders>
              <w:top w:val="double" w:sz="4" w:space="0" w:color="auto"/>
            </w:tcBorders>
            <w:shd w:val="clear" w:color="auto" w:fill="FFFFFF"/>
            <w:vAlign w:val="center"/>
          </w:tcPr>
          <w:p w:rsidR="00FC4AE1" w:rsidRPr="00CF4C4E" w:rsidRDefault="009A6D0D" w:rsidP="00CF4C4E">
            <w:pPr>
              <w:shd w:val="clear" w:color="auto" w:fill="FFFFFF"/>
              <w:rPr>
                <w:sz w:val="20"/>
                <w:szCs w:val="20"/>
                <w:lang w:val="en-GB"/>
              </w:rPr>
            </w:pPr>
            <w:r w:rsidRPr="00CF4C4E">
              <w:rPr>
                <w:sz w:val="20"/>
                <w:szCs w:val="20"/>
                <w:lang w:val="en-GB"/>
              </w:rPr>
              <w:t>Yes.</w:t>
            </w:r>
          </w:p>
        </w:tc>
        <w:tc>
          <w:tcPr>
            <w:tcW w:w="579" w:type="pct"/>
            <w:tcBorders>
              <w:top w:val="double" w:sz="4" w:space="0" w:color="auto"/>
            </w:tcBorders>
            <w:shd w:val="clear" w:color="auto" w:fill="FFFFFF"/>
            <w:vAlign w:val="center"/>
          </w:tcPr>
          <w:p w:rsidR="00FC4AE1" w:rsidRPr="00CF4C4E" w:rsidRDefault="009A6D0D" w:rsidP="00CF4C4E">
            <w:pPr>
              <w:shd w:val="clear" w:color="auto" w:fill="FFFFFF"/>
              <w:rPr>
                <w:sz w:val="20"/>
                <w:szCs w:val="20"/>
                <w:lang w:val="en-GB"/>
              </w:rPr>
            </w:pPr>
            <w:r w:rsidRPr="00CF4C4E">
              <w:rPr>
                <w:sz w:val="20"/>
                <w:szCs w:val="20"/>
                <w:lang w:val="en-GB"/>
              </w:rPr>
              <w:t>Yes.</w:t>
            </w:r>
          </w:p>
        </w:tc>
        <w:tc>
          <w:tcPr>
            <w:tcW w:w="553" w:type="pct"/>
            <w:tcBorders>
              <w:top w:val="double" w:sz="4" w:space="0" w:color="auto"/>
              <w:right w:val="double" w:sz="4" w:space="0" w:color="auto"/>
            </w:tcBorders>
            <w:shd w:val="clear" w:color="auto" w:fill="FFFFFF"/>
            <w:vAlign w:val="center"/>
          </w:tcPr>
          <w:p w:rsidR="00FC4AE1" w:rsidRPr="00CF4C4E" w:rsidRDefault="009A6D0D" w:rsidP="00CF4C4E">
            <w:pPr>
              <w:shd w:val="clear" w:color="auto" w:fill="FFFFFF"/>
              <w:rPr>
                <w:sz w:val="20"/>
                <w:szCs w:val="20"/>
                <w:lang w:val="en-GB"/>
              </w:rPr>
            </w:pPr>
            <w:r w:rsidRPr="00CF4C4E">
              <w:rPr>
                <w:sz w:val="20"/>
                <w:szCs w:val="20"/>
                <w:lang w:val="en-GB"/>
              </w:rPr>
              <w:t>Yes.</w:t>
            </w:r>
          </w:p>
        </w:tc>
      </w:tr>
    </w:tbl>
    <w:p w:rsidR="00FC4AE1" w:rsidRPr="00CF4C4E" w:rsidRDefault="00FC4AE1" w:rsidP="00CF4C4E">
      <w:pPr>
        <w:rPr>
          <w:sz w:val="20"/>
          <w:szCs w:val="20"/>
          <w:lang w:val="en-GB"/>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1283"/>
        <w:gridCol w:w="2404"/>
        <w:gridCol w:w="379"/>
        <w:gridCol w:w="781"/>
        <w:gridCol w:w="1695"/>
        <w:gridCol w:w="1528"/>
        <w:gridCol w:w="1562"/>
        <w:gridCol w:w="1573"/>
      </w:tblGrid>
      <w:tr w:rsidR="00FC4AE1" w:rsidRPr="00CF4C4E" w:rsidTr="00C11F8E">
        <w:trPr>
          <w:trHeight w:val="351"/>
        </w:trPr>
        <w:tc>
          <w:tcPr>
            <w:tcW w:w="5000" w:type="pct"/>
            <w:gridSpan w:val="9"/>
            <w:tcBorders>
              <w:top w:val="double" w:sz="4" w:space="0" w:color="auto"/>
              <w:left w:val="double" w:sz="4" w:space="0" w:color="auto"/>
              <w:right w:val="double" w:sz="4" w:space="0" w:color="auto"/>
            </w:tcBorders>
            <w:shd w:val="clear" w:color="auto" w:fill="E5B8B7" w:themeFill="accent2" w:themeFillTint="66"/>
            <w:vAlign w:val="center"/>
          </w:tcPr>
          <w:p w:rsidR="00FC4AE1" w:rsidRPr="00CF4C4E" w:rsidRDefault="00FC4AE1" w:rsidP="00CF4C4E">
            <w:pPr>
              <w:pStyle w:val="Heading3"/>
              <w:spacing w:before="0"/>
              <w:rPr>
                <w:rFonts w:cs="Times New Roman"/>
                <w:szCs w:val="20"/>
                <w:lang w:val="en-GB"/>
              </w:rPr>
            </w:pPr>
            <w:bookmarkStart w:id="15" w:name="_Toc32409919"/>
            <w:r w:rsidRPr="00CF4C4E">
              <w:rPr>
                <w:rFonts w:cs="Times New Roman"/>
                <w:szCs w:val="20"/>
                <w:lang w:val="en-GB"/>
              </w:rPr>
              <w:lastRenderedPageBreak/>
              <w:t>Measure 4.1:</w:t>
            </w:r>
            <w:r w:rsidRPr="00CF4C4E">
              <w:rPr>
                <w:rFonts w:cs="Times New Roman"/>
                <w:b w:val="0"/>
                <w:bCs w:val="0"/>
                <w:szCs w:val="20"/>
                <w:lang w:val="en-GB"/>
              </w:rPr>
              <w:t xml:space="preserve"> </w:t>
            </w:r>
            <w:r w:rsidRPr="00CF4C4E">
              <w:rPr>
                <w:rFonts w:cs="Times New Roman"/>
                <w:szCs w:val="20"/>
                <w:lang w:val="en-GB"/>
              </w:rPr>
              <w:t>Ensure sustainability of the system of research and criminal prosecution in terrorism financing cases</w:t>
            </w:r>
            <w:bookmarkEnd w:id="15"/>
          </w:p>
        </w:tc>
      </w:tr>
      <w:tr w:rsidR="00FC4AE1" w:rsidRPr="00CF4C4E" w:rsidTr="00C11F8E">
        <w:trPr>
          <w:trHeight w:val="303"/>
        </w:trPr>
        <w:tc>
          <w:tcPr>
            <w:tcW w:w="5000" w:type="pct"/>
            <w:gridSpan w:val="9"/>
            <w:tcBorders>
              <w:top w:val="double" w:sz="4" w:space="0" w:color="auto"/>
              <w:left w:val="double" w:sz="4" w:space="0" w:color="auto"/>
              <w:bottom w:val="double" w:sz="4" w:space="0" w:color="auto"/>
              <w:right w:val="double" w:sz="4" w:space="0" w:color="auto"/>
            </w:tcBorders>
            <w:shd w:val="clear" w:color="auto" w:fill="E5B8B7" w:themeFill="accent2" w:themeFillTint="66"/>
            <w:vAlign w:val="center"/>
          </w:tcPr>
          <w:p w:rsidR="00FC4AE1" w:rsidRPr="00CF4C4E" w:rsidRDefault="00FC4AE1" w:rsidP="00CF4C4E">
            <w:pPr>
              <w:rPr>
                <w:sz w:val="20"/>
                <w:szCs w:val="20"/>
                <w:lang w:val="en-GB"/>
              </w:rPr>
            </w:pPr>
            <w:r w:rsidRPr="00CF4C4E">
              <w:rPr>
                <w:rFonts w:eastAsia="Times New Roman"/>
                <w:color w:val="222222"/>
                <w:sz w:val="20"/>
                <w:szCs w:val="20"/>
                <w:lang w:val="en-GB"/>
              </w:rPr>
              <w:t>Institution responsible for monitoring and control of implementation: Coordination Body for the Prevention of Money Laundering and the Financing of Terrorism (AML/CFT CB)</w:t>
            </w:r>
          </w:p>
        </w:tc>
      </w:tr>
      <w:tr w:rsidR="00FC4AE1" w:rsidRPr="00CF4C4E" w:rsidTr="00C11F8E">
        <w:trPr>
          <w:trHeight w:val="303"/>
        </w:trPr>
        <w:tc>
          <w:tcPr>
            <w:tcW w:w="2477" w:type="pct"/>
            <w:gridSpan w:val="4"/>
            <w:tcBorders>
              <w:top w:val="double" w:sz="4" w:space="0" w:color="auto"/>
              <w:left w:val="double" w:sz="4" w:space="0" w:color="auto"/>
              <w:bottom w:val="double" w:sz="4" w:space="0" w:color="auto"/>
              <w:right w:val="double" w:sz="4" w:space="0" w:color="auto"/>
            </w:tcBorders>
            <w:shd w:val="clear" w:color="auto" w:fill="E5B8B7" w:themeFill="accent2" w:themeFillTint="66"/>
            <w:vAlign w:val="center"/>
          </w:tcPr>
          <w:p w:rsidR="00FC4AE1" w:rsidRPr="00CF4C4E" w:rsidRDefault="00FC4AE1" w:rsidP="00CF4C4E">
            <w:pPr>
              <w:rPr>
                <w:sz w:val="20"/>
                <w:szCs w:val="20"/>
                <w:lang w:val="en-GB"/>
              </w:rPr>
            </w:pPr>
            <w:r w:rsidRPr="00CF4C4E">
              <w:rPr>
                <w:sz w:val="20"/>
                <w:szCs w:val="20"/>
                <w:lang w:val="en-GB"/>
              </w:rPr>
              <w:t>Implementation period: 2020-2022</w:t>
            </w:r>
          </w:p>
        </w:tc>
        <w:tc>
          <w:tcPr>
            <w:tcW w:w="2523" w:type="pct"/>
            <w:gridSpan w:val="5"/>
            <w:tcBorders>
              <w:top w:val="double" w:sz="4" w:space="0" w:color="auto"/>
              <w:left w:val="double" w:sz="4" w:space="0" w:color="auto"/>
              <w:bottom w:val="double" w:sz="4" w:space="0" w:color="auto"/>
              <w:right w:val="double" w:sz="4" w:space="0" w:color="auto"/>
            </w:tcBorders>
            <w:shd w:val="clear" w:color="auto" w:fill="E5B8B7" w:themeFill="accent2" w:themeFillTint="66"/>
            <w:vAlign w:val="center"/>
          </w:tcPr>
          <w:p w:rsidR="00FC4AE1" w:rsidRPr="00CF4C4E" w:rsidRDefault="00FC4AE1" w:rsidP="00CF4C4E">
            <w:pPr>
              <w:rPr>
                <w:sz w:val="20"/>
                <w:szCs w:val="20"/>
                <w:lang w:val="en-GB"/>
              </w:rPr>
            </w:pPr>
            <w:r w:rsidRPr="00CF4C4E">
              <w:rPr>
                <w:sz w:val="20"/>
                <w:szCs w:val="20"/>
                <w:lang w:val="en-GB"/>
              </w:rPr>
              <w:t>Type of measure: Institutional/managerial/organisational</w:t>
            </w:r>
          </w:p>
        </w:tc>
      </w:tr>
      <w:tr w:rsidR="00CF4C4E" w:rsidRPr="00CF4C4E" w:rsidTr="00CF4C4E">
        <w:trPr>
          <w:trHeight w:val="778"/>
        </w:trPr>
        <w:tc>
          <w:tcPr>
            <w:tcW w:w="1040" w:type="pct"/>
            <w:tcBorders>
              <w:top w:val="double" w:sz="4" w:space="0" w:color="auto"/>
            </w:tcBorders>
            <w:shd w:val="clear" w:color="auto" w:fill="D9D9D9"/>
            <w:vAlign w:val="center"/>
          </w:tcPr>
          <w:p w:rsidR="00FC4AE1" w:rsidRPr="00CF4C4E" w:rsidRDefault="00FC4AE1" w:rsidP="00CF4C4E">
            <w:pPr>
              <w:rPr>
                <w:sz w:val="20"/>
                <w:szCs w:val="20"/>
                <w:lang w:val="en-GB"/>
              </w:rPr>
            </w:pPr>
            <w:r w:rsidRPr="00CF4C4E">
              <w:rPr>
                <w:sz w:val="20"/>
                <w:szCs w:val="20"/>
                <w:lang w:val="en-GB"/>
              </w:rPr>
              <w:t>Indicator(s) at the level of measure (result indicator):</w:t>
            </w:r>
          </w:p>
        </w:tc>
        <w:tc>
          <w:tcPr>
            <w:tcW w:w="453" w:type="pct"/>
            <w:tcBorders>
              <w:top w:val="double" w:sz="4" w:space="0" w:color="auto"/>
            </w:tcBorders>
            <w:shd w:val="clear" w:color="auto" w:fill="D9D9D9"/>
            <w:vAlign w:val="center"/>
          </w:tcPr>
          <w:p w:rsidR="00FC4AE1" w:rsidRPr="00CF4C4E" w:rsidRDefault="00FC4AE1" w:rsidP="00CF4C4E">
            <w:pPr>
              <w:rPr>
                <w:sz w:val="20"/>
                <w:szCs w:val="20"/>
                <w:lang w:val="en-GB"/>
              </w:rPr>
            </w:pPr>
            <w:r w:rsidRPr="00CF4C4E">
              <w:rPr>
                <w:sz w:val="20"/>
                <w:szCs w:val="20"/>
                <w:lang w:val="en-GB"/>
              </w:rPr>
              <w:t>Unit of measurement</w:t>
            </w:r>
          </w:p>
          <w:p w:rsidR="00FC4AE1" w:rsidRPr="00CF4C4E" w:rsidRDefault="00FC4AE1" w:rsidP="00CF4C4E">
            <w:pPr>
              <w:rPr>
                <w:sz w:val="20"/>
                <w:szCs w:val="20"/>
                <w:lang w:val="en-GB"/>
              </w:rPr>
            </w:pPr>
          </w:p>
        </w:tc>
        <w:tc>
          <w:tcPr>
            <w:tcW w:w="850" w:type="pct"/>
            <w:tcBorders>
              <w:top w:val="double" w:sz="4" w:space="0" w:color="auto"/>
            </w:tcBorders>
            <w:shd w:val="clear" w:color="auto" w:fill="D9D9D9"/>
            <w:vAlign w:val="center"/>
          </w:tcPr>
          <w:p w:rsidR="00FC4AE1" w:rsidRPr="00CF4C4E" w:rsidRDefault="00FC4AE1" w:rsidP="00CF4C4E">
            <w:pPr>
              <w:rPr>
                <w:sz w:val="20"/>
                <w:szCs w:val="20"/>
                <w:lang w:val="en-GB"/>
              </w:rPr>
            </w:pPr>
            <w:r w:rsidRPr="00CF4C4E">
              <w:rPr>
                <w:sz w:val="20"/>
                <w:szCs w:val="20"/>
                <w:lang w:val="en-GB"/>
              </w:rPr>
              <w:t>Source of verification</w:t>
            </w:r>
          </w:p>
        </w:tc>
        <w:tc>
          <w:tcPr>
            <w:tcW w:w="410" w:type="pct"/>
            <w:gridSpan w:val="2"/>
            <w:tcBorders>
              <w:top w:val="double" w:sz="4" w:space="0" w:color="auto"/>
            </w:tcBorders>
            <w:shd w:val="clear" w:color="auto" w:fill="D9D9D9"/>
            <w:vAlign w:val="center"/>
          </w:tcPr>
          <w:p w:rsidR="00FC4AE1" w:rsidRPr="00CF4C4E" w:rsidRDefault="00FC4AE1" w:rsidP="00CF4C4E">
            <w:pPr>
              <w:rPr>
                <w:sz w:val="20"/>
                <w:szCs w:val="20"/>
                <w:lang w:val="en-GB"/>
              </w:rPr>
            </w:pPr>
            <w:r w:rsidRPr="00CF4C4E">
              <w:rPr>
                <w:sz w:val="20"/>
                <w:szCs w:val="20"/>
                <w:lang w:val="en-GB"/>
              </w:rPr>
              <w:t xml:space="preserve">Base value </w:t>
            </w:r>
          </w:p>
        </w:tc>
        <w:tc>
          <w:tcPr>
            <w:tcW w:w="599" w:type="pct"/>
            <w:tcBorders>
              <w:top w:val="double" w:sz="4" w:space="0" w:color="auto"/>
            </w:tcBorders>
            <w:shd w:val="clear" w:color="auto" w:fill="D9D9D9"/>
            <w:vAlign w:val="center"/>
          </w:tcPr>
          <w:p w:rsidR="00FC4AE1" w:rsidRPr="00CF4C4E" w:rsidRDefault="00FC4AE1" w:rsidP="00CF4C4E">
            <w:pPr>
              <w:rPr>
                <w:sz w:val="20"/>
                <w:szCs w:val="20"/>
                <w:lang w:val="en-GB"/>
              </w:rPr>
            </w:pPr>
            <w:r w:rsidRPr="00CF4C4E">
              <w:rPr>
                <w:sz w:val="20"/>
                <w:szCs w:val="20"/>
                <w:lang w:val="en-GB"/>
              </w:rPr>
              <w:t>Base year</w:t>
            </w:r>
          </w:p>
        </w:tc>
        <w:tc>
          <w:tcPr>
            <w:tcW w:w="540" w:type="pct"/>
            <w:tcBorders>
              <w:top w:val="double" w:sz="4" w:space="0" w:color="auto"/>
            </w:tcBorders>
            <w:shd w:val="clear" w:color="auto" w:fill="D9D9D9"/>
            <w:vAlign w:val="center"/>
          </w:tcPr>
          <w:p w:rsidR="00FC4AE1" w:rsidRPr="00CF4C4E" w:rsidRDefault="00FC4AE1" w:rsidP="00CF4C4E">
            <w:pPr>
              <w:rPr>
                <w:sz w:val="20"/>
                <w:szCs w:val="20"/>
                <w:lang w:val="en-GB"/>
              </w:rPr>
            </w:pPr>
            <w:r w:rsidRPr="00CF4C4E">
              <w:rPr>
                <w:sz w:val="20"/>
                <w:szCs w:val="20"/>
                <w:lang w:val="en-GB"/>
              </w:rPr>
              <w:t>Target value in 2020</w:t>
            </w:r>
          </w:p>
        </w:tc>
        <w:tc>
          <w:tcPr>
            <w:tcW w:w="552" w:type="pct"/>
            <w:tcBorders>
              <w:top w:val="double" w:sz="4" w:space="0" w:color="auto"/>
              <w:right w:val="double" w:sz="4" w:space="0" w:color="auto"/>
            </w:tcBorders>
            <w:shd w:val="clear" w:color="auto" w:fill="D9D9D9"/>
            <w:vAlign w:val="center"/>
          </w:tcPr>
          <w:p w:rsidR="00FC4AE1" w:rsidRPr="00CF4C4E" w:rsidRDefault="00FC4AE1" w:rsidP="00CF4C4E">
            <w:pPr>
              <w:rPr>
                <w:sz w:val="20"/>
                <w:szCs w:val="20"/>
                <w:lang w:val="en-GB"/>
              </w:rPr>
            </w:pPr>
            <w:r w:rsidRPr="00CF4C4E">
              <w:rPr>
                <w:sz w:val="20"/>
                <w:szCs w:val="20"/>
                <w:lang w:val="en-GB"/>
              </w:rPr>
              <w:t>Target value in 2021</w:t>
            </w:r>
          </w:p>
        </w:tc>
        <w:tc>
          <w:tcPr>
            <w:tcW w:w="556" w:type="pct"/>
            <w:tcBorders>
              <w:top w:val="double" w:sz="4" w:space="0" w:color="auto"/>
              <w:right w:val="double" w:sz="4" w:space="0" w:color="auto"/>
            </w:tcBorders>
            <w:shd w:val="clear" w:color="auto" w:fill="D9D9D9"/>
            <w:vAlign w:val="center"/>
          </w:tcPr>
          <w:p w:rsidR="00FC4AE1" w:rsidRPr="00CF4C4E" w:rsidRDefault="00885F9C" w:rsidP="00CF4C4E">
            <w:pPr>
              <w:rPr>
                <w:sz w:val="20"/>
                <w:szCs w:val="20"/>
                <w:lang w:val="en-GB"/>
              </w:rPr>
            </w:pPr>
            <w:r w:rsidRPr="00CF4C4E">
              <w:rPr>
                <w:sz w:val="20"/>
                <w:szCs w:val="20"/>
                <w:lang w:val="en-GB"/>
              </w:rPr>
              <w:t>Target value in 2022</w:t>
            </w:r>
          </w:p>
        </w:tc>
      </w:tr>
      <w:tr w:rsidR="00CF4C4E" w:rsidRPr="00CF4C4E" w:rsidTr="00CF4C4E">
        <w:trPr>
          <w:trHeight w:val="307"/>
        </w:trPr>
        <w:tc>
          <w:tcPr>
            <w:tcW w:w="1040" w:type="pct"/>
            <w:tcBorders>
              <w:top w:val="double" w:sz="4" w:space="0" w:color="auto"/>
              <w:bottom w:val="double" w:sz="4" w:space="0" w:color="auto"/>
            </w:tcBorders>
            <w:shd w:val="clear" w:color="auto" w:fill="FFFFFF"/>
            <w:vAlign w:val="center"/>
          </w:tcPr>
          <w:p w:rsidR="00FC4AE1" w:rsidRPr="00CF4C4E" w:rsidRDefault="00FC4AE1" w:rsidP="00CF4C4E">
            <w:pPr>
              <w:shd w:val="clear" w:color="auto" w:fill="FFFFFF"/>
              <w:rPr>
                <w:sz w:val="20"/>
                <w:szCs w:val="20"/>
                <w:lang w:val="en-GB"/>
              </w:rPr>
            </w:pPr>
            <w:r w:rsidRPr="00CF4C4E">
              <w:rPr>
                <w:sz w:val="20"/>
                <w:szCs w:val="20"/>
                <w:lang w:val="en-GB"/>
              </w:rPr>
              <w:t xml:space="preserve">Suspicious entities checked </w:t>
            </w:r>
          </w:p>
        </w:tc>
        <w:tc>
          <w:tcPr>
            <w:tcW w:w="453" w:type="pct"/>
            <w:tcBorders>
              <w:top w:val="double" w:sz="4" w:space="0" w:color="auto"/>
              <w:bottom w:val="double" w:sz="4" w:space="0" w:color="auto"/>
            </w:tcBorders>
            <w:shd w:val="clear" w:color="auto" w:fill="FFFFFF"/>
            <w:vAlign w:val="center"/>
          </w:tcPr>
          <w:p w:rsidR="00FC4AE1" w:rsidRPr="00CF4C4E" w:rsidRDefault="0026686C" w:rsidP="00CF4C4E">
            <w:pPr>
              <w:shd w:val="clear" w:color="auto" w:fill="FFFFFF"/>
              <w:rPr>
                <w:sz w:val="20"/>
                <w:szCs w:val="20"/>
                <w:lang w:val="en-GB"/>
              </w:rPr>
            </w:pPr>
            <w:r w:rsidRPr="00CF4C4E">
              <w:rPr>
                <w:sz w:val="20"/>
                <w:szCs w:val="20"/>
                <w:lang w:val="en-GB"/>
              </w:rPr>
              <w:t>Percentage</w:t>
            </w:r>
          </w:p>
        </w:tc>
        <w:tc>
          <w:tcPr>
            <w:tcW w:w="850" w:type="pct"/>
            <w:tcBorders>
              <w:top w:val="double" w:sz="4" w:space="0" w:color="auto"/>
              <w:bottom w:val="double" w:sz="4" w:space="0" w:color="auto"/>
            </w:tcBorders>
            <w:shd w:val="clear" w:color="auto" w:fill="FFFFFF"/>
            <w:vAlign w:val="center"/>
          </w:tcPr>
          <w:p w:rsidR="00FC4AE1" w:rsidRPr="00CF4C4E" w:rsidRDefault="00FC4AE1" w:rsidP="00CF4C4E">
            <w:pPr>
              <w:shd w:val="clear" w:color="auto" w:fill="FFFFFF"/>
              <w:rPr>
                <w:sz w:val="20"/>
                <w:szCs w:val="20"/>
                <w:lang w:val="en-GB"/>
              </w:rPr>
            </w:pPr>
            <w:r w:rsidRPr="00CF4C4E">
              <w:rPr>
                <w:sz w:val="20"/>
                <w:szCs w:val="20"/>
                <w:lang w:val="en-GB"/>
              </w:rPr>
              <w:t>Annual reports of competent state authorities</w:t>
            </w:r>
          </w:p>
        </w:tc>
        <w:tc>
          <w:tcPr>
            <w:tcW w:w="410" w:type="pct"/>
            <w:gridSpan w:val="2"/>
            <w:tcBorders>
              <w:top w:val="double" w:sz="4" w:space="0" w:color="auto"/>
              <w:bottom w:val="double" w:sz="4" w:space="0" w:color="auto"/>
            </w:tcBorders>
            <w:shd w:val="clear" w:color="auto" w:fill="FFFFFF"/>
            <w:vAlign w:val="center"/>
          </w:tcPr>
          <w:p w:rsidR="00FC4AE1" w:rsidRPr="00CF4C4E" w:rsidRDefault="0026686C" w:rsidP="00CF4C4E">
            <w:pPr>
              <w:shd w:val="clear" w:color="auto" w:fill="FFFFFF"/>
              <w:rPr>
                <w:sz w:val="20"/>
                <w:szCs w:val="20"/>
                <w:lang w:val="en-GB"/>
              </w:rPr>
            </w:pPr>
            <w:r w:rsidRPr="00CF4C4E">
              <w:rPr>
                <w:sz w:val="20"/>
                <w:szCs w:val="20"/>
                <w:lang w:val="en-GB"/>
              </w:rPr>
              <w:t>100%</w:t>
            </w:r>
          </w:p>
        </w:tc>
        <w:tc>
          <w:tcPr>
            <w:tcW w:w="599" w:type="pct"/>
            <w:tcBorders>
              <w:top w:val="double" w:sz="4" w:space="0" w:color="auto"/>
              <w:bottom w:val="double" w:sz="4" w:space="0" w:color="auto"/>
            </w:tcBorders>
            <w:shd w:val="clear" w:color="auto" w:fill="FFFFFF"/>
            <w:vAlign w:val="center"/>
          </w:tcPr>
          <w:p w:rsidR="00FC4AE1" w:rsidRPr="00CF4C4E" w:rsidRDefault="0026686C" w:rsidP="00CF4C4E">
            <w:pPr>
              <w:shd w:val="clear" w:color="auto" w:fill="FFFFFF"/>
              <w:rPr>
                <w:sz w:val="20"/>
                <w:szCs w:val="20"/>
                <w:lang w:val="en-GB"/>
              </w:rPr>
            </w:pPr>
            <w:r w:rsidRPr="00CF4C4E">
              <w:rPr>
                <w:sz w:val="20"/>
                <w:szCs w:val="20"/>
                <w:lang w:val="en-GB"/>
              </w:rPr>
              <w:t>2019</w:t>
            </w:r>
          </w:p>
        </w:tc>
        <w:tc>
          <w:tcPr>
            <w:tcW w:w="540" w:type="pct"/>
            <w:tcBorders>
              <w:top w:val="double" w:sz="4" w:space="0" w:color="auto"/>
              <w:bottom w:val="double" w:sz="4" w:space="0" w:color="auto"/>
            </w:tcBorders>
            <w:shd w:val="clear" w:color="auto" w:fill="FFFFFF"/>
            <w:vAlign w:val="center"/>
          </w:tcPr>
          <w:p w:rsidR="00FC4AE1" w:rsidRPr="00CF4C4E" w:rsidRDefault="0026686C" w:rsidP="00CF4C4E">
            <w:pPr>
              <w:shd w:val="clear" w:color="auto" w:fill="FFFFFF"/>
              <w:rPr>
                <w:sz w:val="20"/>
                <w:szCs w:val="20"/>
                <w:lang w:val="en-GB"/>
              </w:rPr>
            </w:pPr>
            <w:r w:rsidRPr="00CF4C4E">
              <w:rPr>
                <w:sz w:val="20"/>
                <w:szCs w:val="20"/>
                <w:lang w:val="en-GB"/>
              </w:rPr>
              <w:t>100%</w:t>
            </w:r>
          </w:p>
        </w:tc>
        <w:tc>
          <w:tcPr>
            <w:tcW w:w="552" w:type="pct"/>
            <w:tcBorders>
              <w:top w:val="double" w:sz="4" w:space="0" w:color="auto"/>
              <w:bottom w:val="double" w:sz="4" w:space="0" w:color="auto"/>
              <w:right w:val="double" w:sz="4" w:space="0" w:color="auto"/>
            </w:tcBorders>
            <w:shd w:val="clear" w:color="auto" w:fill="FFFFFF"/>
            <w:vAlign w:val="center"/>
          </w:tcPr>
          <w:p w:rsidR="00FC4AE1" w:rsidRPr="00CF4C4E" w:rsidRDefault="0026686C" w:rsidP="00CF4C4E">
            <w:pPr>
              <w:shd w:val="clear" w:color="auto" w:fill="FFFFFF"/>
              <w:rPr>
                <w:sz w:val="20"/>
                <w:szCs w:val="20"/>
                <w:lang w:val="en-GB"/>
              </w:rPr>
            </w:pPr>
            <w:r w:rsidRPr="00CF4C4E">
              <w:rPr>
                <w:sz w:val="20"/>
                <w:szCs w:val="20"/>
                <w:lang w:val="en-GB"/>
              </w:rPr>
              <w:t>100%</w:t>
            </w:r>
          </w:p>
        </w:tc>
        <w:tc>
          <w:tcPr>
            <w:tcW w:w="556" w:type="pct"/>
            <w:tcBorders>
              <w:top w:val="double" w:sz="4" w:space="0" w:color="auto"/>
              <w:bottom w:val="double" w:sz="4" w:space="0" w:color="auto"/>
              <w:right w:val="double" w:sz="4" w:space="0" w:color="auto"/>
            </w:tcBorders>
            <w:shd w:val="clear" w:color="auto" w:fill="FFFFFF"/>
            <w:vAlign w:val="center"/>
          </w:tcPr>
          <w:p w:rsidR="00FC4AE1" w:rsidRPr="00CF4C4E" w:rsidRDefault="0026686C" w:rsidP="00CF4C4E">
            <w:pPr>
              <w:shd w:val="clear" w:color="auto" w:fill="FFFFFF"/>
              <w:rPr>
                <w:sz w:val="20"/>
                <w:szCs w:val="20"/>
                <w:lang w:val="en-GB"/>
              </w:rPr>
            </w:pPr>
            <w:r w:rsidRPr="00CF4C4E">
              <w:rPr>
                <w:sz w:val="20"/>
                <w:szCs w:val="20"/>
                <w:lang w:val="en-GB"/>
              </w:rPr>
              <w:t>100%</w:t>
            </w:r>
          </w:p>
        </w:tc>
      </w:tr>
    </w:tbl>
    <w:p w:rsidR="00FC4AE1" w:rsidRPr="00CF4C4E" w:rsidRDefault="00FC4AE1" w:rsidP="00CF4C4E">
      <w:pPr>
        <w:rPr>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2"/>
        <w:gridCol w:w="1145"/>
        <w:gridCol w:w="1242"/>
        <w:gridCol w:w="1162"/>
        <w:gridCol w:w="1573"/>
        <w:gridCol w:w="1160"/>
        <w:gridCol w:w="1803"/>
        <w:gridCol w:w="1525"/>
        <w:gridCol w:w="2163"/>
      </w:tblGrid>
      <w:tr w:rsidR="003C0D99" w:rsidRPr="00CF4C4E" w:rsidTr="003C0D99">
        <w:trPr>
          <w:trHeight w:val="140"/>
        </w:trPr>
        <w:tc>
          <w:tcPr>
            <w:tcW w:w="847" w:type="pct"/>
            <w:vMerge w:val="restart"/>
            <w:tcBorders>
              <w:top w:val="double" w:sz="4" w:space="0" w:color="auto"/>
              <w:left w:val="double" w:sz="4" w:space="0" w:color="auto"/>
            </w:tcBorders>
            <w:shd w:val="clear" w:color="auto" w:fill="E5DFEC" w:themeFill="accent4" w:themeFillTint="33"/>
          </w:tcPr>
          <w:p w:rsidR="003C0D99" w:rsidRPr="00CF4C4E" w:rsidRDefault="003C0D99" w:rsidP="00CF4C4E">
            <w:pPr>
              <w:rPr>
                <w:b/>
                <w:sz w:val="20"/>
                <w:szCs w:val="20"/>
                <w:lang w:val="en-GB"/>
              </w:rPr>
            </w:pPr>
            <w:r w:rsidRPr="00CF4C4E">
              <w:rPr>
                <w:b/>
                <w:bCs/>
                <w:sz w:val="20"/>
                <w:szCs w:val="20"/>
                <w:lang w:val="en-GB"/>
              </w:rPr>
              <w:t>Activity title:</w:t>
            </w:r>
          </w:p>
        </w:tc>
        <w:tc>
          <w:tcPr>
            <w:tcW w:w="404" w:type="pct"/>
            <w:vMerge w:val="restart"/>
            <w:tcBorders>
              <w:top w:val="double" w:sz="4" w:space="0" w:color="auto"/>
            </w:tcBorders>
            <w:shd w:val="clear" w:color="auto" w:fill="E5DFEC" w:themeFill="accent4" w:themeFillTint="33"/>
          </w:tcPr>
          <w:p w:rsidR="003C0D99" w:rsidRPr="00CF4C4E" w:rsidRDefault="003C0D99" w:rsidP="00CF4C4E">
            <w:pPr>
              <w:rPr>
                <w:b/>
                <w:sz w:val="20"/>
                <w:szCs w:val="20"/>
                <w:lang w:val="en-GB"/>
              </w:rPr>
            </w:pPr>
            <w:r w:rsidRPr="00CF4C4E">
              <w:rPr>
                <w:b/>
                <w:bCs/>
                <w:sz w:val="20"/>
                <w:szCs w:val="20"/>
                <w:lang w:val="en-GB"/>
              </w:rPr>
              <w:t>Authority implementing the activity</w:t>
            </w:r>
          </w:p>
        </w:tc>
        <w:tc>
          <w:tcPr>
            <w:tcW w:w="438" w:type="pct"/>
            <w:vMerge w:val="restart"/>
            <w:tcBorders>
              <w:top w:val="double" w:sz="4" w:space="0" w:color="auto"/>
            </w:tcBorders>
            <w:shd w:val="clear" w:color="auto" w:fill="E5DFEC" w:themeFill="accent4" w:themeFillTint="33"/>
          </w:tcPr>
          <w:p w:rsidR="003C0D99" w:rsidRPr="00CF4C4E" w:rsidRDefault="003C0D99" w:rsidP="00CF4C4E">
            <w:pPr>
              <w:rPr>
                <w:b/>
                <w:sz w:val="20"/>
                <w:szCs w:val="20"/>
                <w:lang w:val="en-GB"/>
              </w:rPr>
            </w:pPr>
            <w:r w:rsidRPr="00CF4C4E">
              <w:rPr>
                <w:b/>
                <w:bCs/>
                <w:sz w:val="20"/>
                <w:szCs w:val="20"/>
                <w:lang w:val="en-GB"/>
              </w:rPr>
              <w:t>Partners in the implementation of the activity</w:t>
            </w:r>
          </w:p>
        </w:tc>
        <w:tc>
          <w:tcPr>
            <w:tcW w:w="410" w:type="pct"/>
            <w:vMerge w:val="restart"/>
            <w:tcBorders>
              <w:top w:val="double" w:sz="4" w:space="0" w:color="auto"/>
            </w:tcBorders>
            <w:shd w:val="clear" w:color="auto" w:fill="E5DFEC" w:themeFill="accent4" w:themeFillTint="33"/>
          </w:tcPr>
          <w:p w:rsidR="003C0D99" w:rsidRPr="00CF4C4E" w:rsidRDefault="003C0D99" w:rsidP="00CF4C4E">
            <w:pPr>
              <w:jc w:val="center"/>
              <w:rPr>
                <w:b/>
                <w:sz w:val="20"/>
                <w:szCs w:val="20"/>
                <w:lang w:val="en-GB"/>
              </w:rPr>
            </w:pPr>
            <w:r w:rsidRPr="00CF4C4E">
              <w:rPr>
                <w:b/>
                <w:bCs/>
                <w:sz w:val="20"/>
                <w:szCs w:val="20"/>
                <w:lang w:val="en-GB"/>
              </w:rPr>
              <w:t>Deadline for completion of activity</w:t>
            </w:r>
          </w:p>
        </w:tc>
        <w:tc>
          <w:tcPr>
            <w:tcW w:w="555" w:type="pct"/>
            <w:vMerge w:val="restart"/>
            <w:tcBorders>
              <w:top w:val="double" w:sz="4" w:space="0" w:color="auto"/>
            </w:tcBorders>
            <w:shd w:val="clear" w:color="auto" w:fill="E5DFEC" w:themeFill="accent4" w:themeFillTint="33"/>
          </w:tcPr>
          <w:p w:rsidR="003C0D99" w:rsidRPr="00CF4C4E" w:rsidRDefault="003C0D99" w:rsidP="00CF4C4E">
            <w:pPr>
              <w:jc w:val="center"/>
              <w:rPr>
                <w:b/>
                <w:sz w:val="20"/>
                <w:szCs w:val="20"/>
                <w:lang w:val="en-GB"/>
              </w:rPr>
            </w:pPr>
            <w:r w:rsidRPr="00CF4C4E">
              <w:rPr>
                <w:b/>
                <w:bCs/>
                <w:sz w:val="20"/>
                <w:szCs w:val="20"/>
                <w:lang w:val="en-GB"/>
              </w:rPr>
              <w:t>Source of financing</w:t>
            </w:r>
          </w:p>
        </w:tc>
        <w:tc>
          <w:tcPr>
            <w:tcW w:w="409" w:type="pct"/>
            <w:vMerge w:val="restart"/>
            <w:tcBorders>
              <w:top w:val="double" w:sz="4" w:space="0" w:color="auto"/>
            </w:tcBorders>
            <w:shd w:val="clear" w:color="auto" w:fill="E5DFEC" w:themeFill="accent4" w:themeFillTint="33"/>
          </w:tcPr>
          <w:p w:rsidR="003C0D99" w:rsidRPr="00CF4C4E" w:rsidRDefault="003C0D99" w:rsidP="00CF4C4E">
            <w:pPr>
              <w:rPr>
                <w:b/>
                <w:sz w:val="20"/>
                <w:szCs w:val="20"/>
                <w:lang w:val="en-GB"/>
              </w:rPr>
            </w:pPr>
            <w:r w:rsidRPr="00CF4C4E">
              <w:rPr>
                <w:b/>
                <w:bCs/>
                <w:sz w:val="20"/>
                <w:szCs w:val="20"/>
                <w:lang w:val="en-GB"/>
              </w:rPr>
              <w:t>Link to programme budget</w:t>
            </w:r>
          </w:p>
          <w:p w:rsidR="003C0D99" w:rsidRPr="00CF4C4E" w:rsidRDefault="003C0D99" w:rsidP="00CF4C4E">
            <w:pPr>
              <w:jc w:val="center"/>
              <w:rPr>
                <w:b/>
                <w:sz w:val="20"/>
                <w:szCs w:val="20"/>
                <w:lang w:val="en-GB"/>
              </w:rPr>
            </w:pPr>
          </w:p>
        </w:tc>
        <w:tc>
          <w:tcPr>
            <w:tcW w:w="1937" w:type="pct"/>
            <w:gridSpan w:val="3"/>
            <w:tcBorders>
              <w:top w:val="double" w:sz="4" w:space="0" w:color="auto"/>
            </w:tcBorders>
            <w:shd w:val="clear" w:color="auto" w:fill="E5DFEC" w:themeFill="accent4" w:themeFillTint="33"/>
          </w:tcPr>
          <w:p w:rsidR="003C0D99" w:rsidRPr="00CF4C4E" w:rsidRDefault="003C0D99" w:rsidP="00CF4C4E">
            <w:pPr>
              <w:jc w:val="center"/>
              <w:rPr>
                <w:b/>
                <w:sz w:val="20"/>
                <w:szCs w:val="20"/>
                <w:lang w:val="en-GB"/>
              </w:rPr>
            </w:pPr>
            <w:r w:rsidRPr="00CF4C4E">
              <w:rPr>
                <w:b/>
                <w:bCs/>
                <w:sz w:val="20"/>
                <w:szCs w:val="20"/>
                <w:lang w:val="en-GB"/>
              </w:rPr>
              <w:t>Total assessed financial resources by source in RSD 000</w:t>
            </w:r>
          </w:p>
        </w:tc>
      </w:tr>
      <w:tr w:rsidR="001B4CBD" w:rsidRPr="00CF4C4E" w:rsidTr="000553F1">
        <w:trPr>
          <w:trHeight w:val="386"/>
        </w:trPr>
        <w:tc>
          <w:tcPr>
            <w:tcW w:w="847" w:type="pct"/>
            <w:vMerge/>
            <w:tcBorders>
              <w:left w:val="double" w:sz="4" w:space="0" w:color="auto"/>
            </w:tcBorders>
            <w:shd w:val="clear" w:color="auto" w:fill="E5DFEC" w:themeFill="accent4" w:themeFillTint="33"/>
          </w:tcPr>
          <w:p w:rsidR="001B4CBD" w:rsidRPr="00CF4C4E" w:rsidRDefault="001B4CBD" w:rsidP="00CF4C4E">
            <w:pPr>
              <w:rPr>
                <w:sz w:val="20"/>
                <w:szCs w:val="20"/>
                <w:lang w:val="en-GB"/>
              </w:rPr>
            </w:pPr>
          </w:p>
        </w:tc>
        <w:tc>
          <w:tcPr>
            <w:tcW w:w="404" w:type="pct"/>
            <w:vMerge/>
            <w:shd w:val="clear" w:color="auto" w:fill="E5DFEC" w:themeFill="accent4" w:themeFillTint="33"/>
          </w:tcPr>
          <w:p w:rsidR="001B4CBD" w:rsidRPr="00CF4C4E" w:rsidRDefault="001B4CBD" w:rsidP="00CF4C4E">
            <w:pPr>
              <w:rPr>
                <w:sz w:val="20"/>
                <w:szCs w:val="20"/>
                <w:lang w:val="en-GB"/>
              </w:rPr>
            </w:pPr>
          </w:p>
        </w:tc>
        <w:tc>
          <w:tcPr>
            <w:tcW w:w="438" w:type="pct"/>
            <w:vMerge/>
            <w:shd w:val="clear" w:color="auto" w:fill="E5DFEC" w:themeFill="accent4" w:themeFillTint="33"/>
          </w:tcPr>
          <w:p w:rsidR="001B4CBD" w:rsidRPr="00CF4C4E" w:rsidRDefault="001B4CBD" w:rsidP="00CF4C4E">
            <w:pPr>
              <w:rPr>
                <w:sz w:val="20"/>
                <w:szCs w:val="20"/>
                <w:lang w:val="en-GB"/>
              </w:rPr>
            </w:pPr>
          </w:p>
        </w:tc>
        <w:tc>
          <w:tcPr>
            <w:tcW w:w="410" w:type="pct"/>
            <w:vMerge/>
            <w:shd w:val="clear" w:color="auto" w:fill="E5DFEC" w:themeFill="accent4" w:themeFillTint="33"/>
          </w:tcPr>
          <w:p w:rsidR="001B4CBD" w:rsidRPr="00CF4C4E" w:rsidRDefault="001B4CBD" w:rsidP="00CF4C4E">
            <w:pPr>
              <w:jc w:val="center"/>
              <w:rPr>
                <w:sz w:val="20"/>
                <w:szCs w:val="20"/>
                <w:lang w:val="en-GB"/>
              </w:rPr>
            </w:pPr>
          </w:p>
        </w:tc>
        <w:tc>
          <w:tcPr>
            <w:tcW w:w="555" w:type="pct"/>
            <w:vMerge/>
            <w:shd w:val="clear" w:color="auto" w:fill="E5DFEC" w:themeFill="accent4" w:themeFillTint="33"/>
          </w:tcPr>
          <w:p w:rsidR="001B4CBD" w:rsidRPr="00CF4C4E" w:rsidRDefault="001B4CBD" w:rsidP="00CF4C4E">
            <w:pPr>
              <w:jc w:val="center"/>
              <w:rPr>
                <w:sz w:val="20"/>
                <w:szCs w:val="20"/>
                <w:lang w:val="en-GB"/>
              </w:rPr>
            </w:pPr>
          </w:p>
        </w:tc>
        <w:tc>
          <w:tcPr>
            <w:tcW w:w="409" w:type="pct"/>
            <w:vMerge/>
            <w:shd w:val="clear" w:color="auto" w:fill="E5DFEC" w:themeFill="accent4" w:themeFillTint="33"/>
          </w:tcPr>
          <w:p w:rsidR="001B4CBD" w:rsidRPr="00CF4C4E" w:rsidRDefault="001B4CBD" w:rsidP="00CF4C4E">
            <w:pPr>
              <w:jc w:val="center"/>
              <w:rPr>
                <w:sz w:val="20"/>
                <w:szCs w:val="20"/>
                <w:lang w:val="en-GB"/>
              </w:rPr>
            </w:pPr>
          </w:p>
        </w:tc>
        <w:tc>
          <w:tcPr>
            <w:tcW w:w="636" w:type="pct"/>
            <w:shd w:val="clear" w:color="auto" w:fill="E5DFEC" w:themeFill="accent4" w:themeFillTint="33"/>
          </w:tcPr>
          <w:p w:rsidR="001B4CBD" w:rsidRPr="00CF4C4E" w:rsidRDefault="001B4CBD" w:rsidP="00CF4C4E">
            <w:pPr>
              <w:jc w:val="center"/>
              <w:rPr>
                <w:b/>
                <w:sz w:val="20"/>
                <w:szCs w:val="20"/>
                <w:lang w:val="en-GB"/>
              </w:rPr>
            </w:pPr>
            <w:r w:rsidRPr="00CF4C4E">
              <w:rPr>
                <w:b/>
                <w:bCs/>
                <w:sz w:val="20"/>
                <w:szCs w:val="20"/>
                <w:lang w:val="en-GB"/>
              </w:rPr>
              <w:t>2020</w:t>
            </w:r>
          </w:p>
        </w:tc>
        <w:tc>
          <w:tcPr>
            <w:tcW w:w="538" w:type="pct"/>
            <w:shd w:val="clear" w:color="auto" w:fill="E5DFEC" w:themeFill="accent4" w:themeFillTint="33"/>
          </w:tcPr>
          <w:p w:rsidR="001B4CBD" w:rsidRPr="00CF4C4E" w:rsidRDefault="001B4CBD" w:rsidP="00CF4C4E">
            <w:pPr>
              <w:jc w:val="center"/>
              <w:rPr>
                <w:b/>
                <w:sz w:val="20"/>
                <w:szCs w:val="20"/>
                <w:lang w:val="en-GB"/>
              </w:rPr>
            </w:pPr>
            <w:r w:rsidRPr="00CF4C4E">
              <w:rPr>
                <w:b/>
                <w:bCs/>
                <w:sz w:val="20"/>
                <w:szCs w:val="20"/>
                <w:lang w:val="en-GB"/>
              </w:rPr>
              <w:t>2021</w:t>
            </w:r>
          </w:p>
        </w:tc>
        <w:tc>
          <w:tcPr>
            <w:tcW w:w="763" w:type="pct"/>
            <w:shd w:val="clear" w:color="auto" w:fill="E5DFEC" w:themeFill="accent4" w:themeFillTint="33"/>
          </w:tcPr>
          <w:p w:rsidR="001B4CBD" w:rsidRPr="00CF4C4E" w:rsidRDefault="001B4CBD" w:rsidP="00CF4C4E">
            <w:pPr>
              <w:jc w:val="center"/>
              <w:rPr>
                <w:b/>
                <w:sz w:val="20"/>
                <w:szCs w:val="20"/>
                <w:lang w:val="en-GB"/>
              </w:rPr>
            </w:pPr>
            <w:r w:rsidRPr="00CF4C4E">
              <w:rPr>
                <w:b/>
                <w:bCs/>
                <w:sz w:val="20"/>
                <w:szCs w:val="20"/>
                <w:lang w:val="en-GB"/>
              </w:rPr>
              <w:t>2022</w:t>
            </w:r>
          </w:p>
          <w:p w:rsidR="001B4CBD" w:rsidRPr="00CF4C4E" w:rsidRDefault="001B4CBD" w:rsidP="00CF4C4E">
            <w:pPr>
              <w:jc w:val="center"/>
              <w:rPr>
                <w:b/>
                <w:sz w:val="20"/>
                <w:szCs w:val="20"/>
                <w:lang w:val="en-GB"/>
              </w:rPr>
            </w:pPr>
          </w:p>
        </w:tc>
      </w:tr>
      <w:tr w:rsidR="009A6D0D" w:rsidRPr="00CF4C4E" w:rsidTr="000553F1">
        <w:trPr>
          <w:trHeight w:val="1610"/>
        </w:trPr>
        <w:tc>
          <w:tcPr>
            <w:tcW w:w="847" w:type="pct"/>
            <w:tcBorders>
              <w:left w:val="double" w:sz="4" w:space="0" w:color="auto"/>
            </w:tcBorders>
            <w:shd w:val="clear" w:color="auto" w:fill="auto"/>
          </w:tcPr>
          <w:p w:rsidR="009A6D0D" w:rsidRPr="00CF4C4E" w:rsidRDefault="009A6D0D" w:rsidP="00CF4C4E">
            <w:pPr>
              <w:rPr>
                <w:sz w:val="20"/>
                <w:szCs w:val="20"/>
                <w:lang w:val="en-GB"/>
              </w:rPr>
            </w:pPr>
            <w:r w:rsidRPr="00CF4C4E">
              <w:rPr>
                <w:sz w:val="20"/>
                <w:szCs w:val="20"/>
                <w:lang w:val="en-GB"/>
              </w:rPr>
              <w:t xml:space="preserve">4.1.1. Continue sharing data and information on terrorist financing within the existing structures of interagency coordination and cooperation of operational authorities competent for the fight against terrorism and other related criminal offences; </w:t>
            </w:r>
          </w:p>
        </w:tc>
        <w:tc>
          <w:tcPr>
            <w:tcW w:w="404" w:type="pct"/>
            <w:shd w:val="clear" w:color="auto" w:fill="auto"/>
          </w:tcPr>
          <w:p w:rsidR="009A6D0D" w:rsidRPr="00CF4C4E" w:rsidRDefault="009A6D0D" w:rsidP="00CF4C4E">
            <w:pPr>
              <w:rPr>
                <w:sz w:val="20"/>
                <w:szCs w:val="20"/>
                <w:lang w:val="en-GB"/>
              </w:rPr>
            </w:pPr>
            <w:r w:rsidRPr="00CF4C4E">
              <w:rPr>
                <w:sz w:val="20"/>
                <w:szCs w:val="20"/>
                <w:lang w:val="en-GB"/>
              </w:rPr>
              <w:t>National Coordination Body for Preventing and Suppressing Terrorism</w:t>
            </w:r>
          </w:p>
        </w:tc>
        <w:tc>
          <w:tcPr>
            <w:tcW w:w="438" w:type="pct"/>
            <w:shd w:val="clear" w:color="auto" w:fill="auto"/>
          </w:tcPr>
          <w:p w:rsidR="009A6D0D" w:rsidRPr="00CF4C4E" w:rsidRDefault="009A6D0D" w:rsidP="00CF4C4E">
            <w:pPr>
              <w:rPr>
                <w:sz w:val="20"/>
                <w:szCs w:val="20"/>
                <w:lang w:val="en-GB"/>
              </w:rPr>
            </w:pPr>
            <w:r w:rsidRPr="00CF4C4E">
              <w:rPr>
                <w:sz w:val="20"/>
                <w:szCs w:val="20"/>
                <w:lang w:val="en-GB"/>
              </w:rPr>
              <w:t xml:space="preserve">RPPO, POOC, SIA, MoI, APML </w:t>
            </w:r>
          </w:p>
          <w:p w:rsidR="009A6D0D" w:rsidRPr="00CF4C4E" w:rsidRDefault="009A6D0D" w:rsidP="00CF4C4E">
            <w:pPr>
              <w:rPr>
                <w:sz w:val="20"/>
                <w:szCs w:val="20"/>
                <w:lang w:val="en-GB"/>
              </w:rPr>
            </w:pPr>
            <w:r w:rsidRPr="00CF4C4E">
              <w:rPr>
                <w:sz w:val="20"/>
                <w:szCs w:val="20"/>
                <w:lang w:val="en-GB"/>
              </w:rPr>
              <w:t>NSCCIPO</w:t>
            </w:r>
          </w:p>
        </w:tc>
        <w:tc>
          <w:tcPr>
            <w:tcW w:w="410" w:type="pct"/>
            <w:shd w:val="clear" w:color="auto" w:fill="auto"/>
          </w:tcPr>
          <w:p w:rsidR="009A6D0D" w:rsidRPr="00CF4C4E" w:rsidRDefault="009A6D0D" w:rsidP="00CF4C4E">
            <w:pPr>
              <w:rPr>
                <w:sz w:val="20"/>
                <w:szCs w:val="20"/>
                <w:lang w:val="en-GB"/>
              </w:rPr>
            </w:pPr>
            <w:r w:rsidRPr="00CF4C4E">
              <w:rPr>
                <w:sz w:val="20"/>
                <w:szCs w:val="20"/>
                <w:lang w:val="en-GB"/>
              </w:rPr>
              <w:t xml:space="preserve">IV quarter of 2022 </w:t>
            </w:r>
          </w:p>
        </w:tc>
        <w:tc>
          <w:tcPr>
            <w:tcW w:w="555" w:type="pct"/>
            <w:shd w:val="clear" w:color="auto" w:fill="auto"/>
          </w:tcPr>
          <w:p w:rsidR="009A6D0D" w:rsidRPr="00CF4C4E" w:rsidRDefault="009A6D0D" w:rsidP="00CF4C4E">
            <w:pPr>
              <w:rPr>
                <w:sz w:val="20"/>
                <w:szCs w:val="20"/>
                <w:lang w:val="en-GB"/>
              </w:rPr>
            </w:pPr>
            <w:r w:rsidRPr="00CF4C4E">
              <w:rPr>
                <w:sz w:val="20"/>
                <w:szCs w:val="20"/>
                <w:lang w:val="en-GB"/>
              </w:rPr>
              <w:t xml:space="preserve">Financed as part of regular activities of staff </w:t>
            </w:r>
          </w:p>
        </w:tc>
        <w:tc>
          <w:tcPr>
            <w:tcW w:w="409" w:type="pct"/>
            <w:shd w:val="clear" w:color="auto" w:fill="auto"/>
          </w:tcPr>
          <w:p w:rsidR="009A6D0D" w:rsidRPr="00CF4C4E" w:rsidRDefault="009A6D0D" w:rsidP="00CF4C4E">
            <w:pPr>
              <w:rPr>
                <w:sz w:val="20"/>
                <w:szCs w:val="20"/>
                <w:lang w:val="en-GB"/>
              </w:rPr>
            </w:pPr>
          </w:p>
        </w:tc>
        <w:tc>
          <w:tcPr>
            <w:tcW w:w="636" w:type="pct"/>
            <w:shd w:val="clear" w:color="auto" w:fill="auto"/>
          </w:tcPr>
          <w:p w:rsidR="009A6D0D" w:rsidRPr="00CF4C4E" w:rsidRDefault="009A6D0D" w:rsidP="00CF4C4E">
            <w:pPr>
              <w:rPr>
                <w:sz w:val="20"/>
                <w:szCs w:val="20"/>
                <w:lang w:val="en-GB"/>
              </w:rPr>
            </w:pPr>
          </w:p>
        </w:tc>
        <w:tc>
          <w:tcPr>
            <w:tcW w:w="538" w:type="pct"/>
            <w:shd w:val="clear" w:color="auto" w:fill="auto"/>
          </w:tcPr>
          <w:p w:rsidR="009A6D0D" w:rsidRPr="00CF4C4E" w:rsidRDefault="009A6D0D" w:rsidP="00CF4C4E">
            <w:pPr>
              <w:rPr>
                <w:sz w:val="20"/>
                <w:szCs w:val="20"/>
                <w:lang w:val="en-GB"/>
              </w:rPr>
            </w:pPr>
          </w:p>
        </w:tc>
        <w:tc>
          <w:tcPr>
            <w:tcW w:w="763" w:type="pct"/>
            <w:shd w:val="clear" w:color="auto" w:fill="auto"/>
          </w:tcPr>
          <w:p w:rsidR="009A6D0D" w:rsidRPr="00CF4C4E" w:rsidRDefault="009A6D0D" w:rsidP="00CF4C4E">
            <w:pPr>
              <w:rPr>
                <w:sz w:val="20"/>
                <w:szCs w:val="20"/>
                <w:lang w:val="en-GB"/>
              </w:rPr>
            </w:pPr>
          </w:p>
        </w:tc>
      </w:tr>
      <w:tr w:rsidR="009A6D0D" w:rsidRPr="00CF4C4E" w:rsidTr="000553F1">
        <w:trPr>
          <w:trHeight w:val="140"/>
        </w:trPr>
        <w:tc>
          <w:tcPr>
            <w:tcW w:w="847" w:type="pct"/>
            <w:tcBorders>
              <w:left w:val="double" w:sz="4" w:space="0" w:color="auto"/>
            </w:tcBorders>
            <w:shd w:val="clear" w:color="auto" w:fill="auto"/>
          </w:tcPr>
          <w:p w:rsidR="009A6D0D" w:rsidRPr="00CF4C4E" w:rsidRDefault="00B15A10" w:rsidP="00CF4C4E">
            <w:pPr>
              <w:rPr>
                <w:sz w:val="20"/>
                <w:szCs w:val="20"/>
                <w:lang w:val="en-GB"/>
              </w:rPr>
            </w:pPr>
            <w:r w:rsidRPr="00CF4C4E">
              <w:rPr>
                <w:sz w:val="20"/>
                <w:szCs w:val="20"/>
                <w:lang w:val="en-GB"/>
              </w:rPr>
              <w:t xml:space="preserve">4.1.2. Analyse current CTF human, IT and financial capacities of the authorities competent for the fight against terrorism and other related criminal offences; </w:t>
            </w:r>
          </w:p>
        </w:tc>
        <w:tc>
          <w:tcPr>
            <w:tcW w:w="404" w:type="pct"/>
            <w:shd w:val="clear" w:color="auto" w:fill="auto"/>
          </w:tcPr>
          <w:p w:rsidR="009A6D0D" w:rsidRPr="00CF4C4E" w:rsidRDefault="009A6D0D" w:rsidP="00CF4C4E">
            <w:pPr>
              <w:rPr>
                <w:sz w:val="20"/>
                <w:szCs w:val="20"/>
                <w:lang w:val="en-GB"/>
              </w:rPr>
            </w:pPr>
            <w:r w:rsidRPr="00CF4C4E">
              <w:rPr>
                <w:sz w:val="20"/>
                <w:szCs w:val="20"/>
                <w:lang w:val="en-GB"/>
              </w:rPr>
              <w:t>NCBT</w:t>
            </w:r>
          </w:p>
        </w:tc>
        <w:tc>
          <w:tcPr>
            <w:tcW w:w="438" w:type="pct"/>
            <w:shd w:val="clear" w:color="auto" w:fill="auto"/>
          </w:tcPr>
          <w:p w:rsidR="009A6D0D" w:rsidRPr="00CF4C4E" w:rsidRDefault="009A6D0D" w:rsidP="00CF4C4E">
            <w:pPr>
              <w:rPr>
                <w:sz w:val="20"/>
                <w:szCs w:val="20"/>
                <w:lang w:val="en-GB"/>
              </w:rPr>
            </w:pPr>
            <w:r w:rsidRPr="00CF4C4E">
              <w:rPr>
                <w:sz w:val="20"/>
                <w:szCs w:val="20"/>
                <w:lang w:val="en-GB"/>
              </w:rPr>
              <w:t>RPPO, POOC, SIA, MoI, APML</w:t>
            </w:r>
          </w:p>
          <w:p w:rsidR="009A6D0D" w:rsidRPr="00CF4C4E" w:rsidRDefault="009A6D0D" w:rsidP="00CF4C4E">
            <w:pPr>
              <w:rPr>
                <w:sz w:val="20"/>
                <w:szCs w:val="20"/>
                <w:lang w:val="en-GB"/>
              </w:rPr>
            </w:pPr>
            <w:r w:rsidRPr="00CF4C4E">
              <w:rPr>
                <w:sz w:val="20"/>
                <w:szCs w:val="20"/>
                <w:lang w:val="en-GB"/>
              </w:rPr>
              <w:t>NSCCIPO</w:t>
            </w:r>
          </w:p>
        </w:tc>
        <w:tc>
          <w:tcPr>
            <w:tcW w:w="410" w:type="pct"/>
            <w:shd w:val="clear" w:color="auto" w:fill="auto"/>
          </w:tcPr>
          <w:p w:rsidR="009A6D0D" w:rsidRPr="00CF4C4E" w:rsidRDefault="009A6D0D" w:rsidP="00CF4C4E">
            <w:pPr>
              <w:rPr>
                <w:sz w:val="20"/>
                <w:szCs w:val="20"/>
                <w:lang w:val="en-GB"/>
              </w:rPr>
            </w:pPr>
            <w:r w:rsidRPr="00CF4C4E">
              <w:rPr>
                <w:sz w:val="20"/>
                <w:szCs w:val="20"/>
                <w:lang w:val="en-GB"/>
              </w:rPr>
              <w:t xml:space="preserve">II quarter of 2021 </w:t>
            </w:r>
          </w:p>
        </w:tc>
        <w:tc>
          <w:tcPr>
            <w:tcW w:w="555" w:type="pct"/>
            <w:shd w:val="clear" w:color="auto" w:fill="auto"/>
          </w:tcPr>
          <w:p w:rsidR="009A6D0D" w:rsidRPr="00CF4C4E" w:rsidRDefault="009A6D0D" w:rsidP="00CF4C4E">
            <w:pPr>
              <w:rPr>
                <w:sz w:val="20"/>
                <w:szCs w:val="20"/>
                <w:lang w:val="en-GB"/>
              </w:rPr>
            </w:pPr>
            <w:r w:rsidRPr="00CF4C4E">
              <w:rPr>
                <w:sz w:val="20"/>
                <w:szCs w:val="20"/>
                <w:lang w:val="en-GB"/>
              </w:rPr>
              <w:t>Financed as part of regular activities of staff</w:t>
            </w:r>
          </w:p>
        </w:tc>
        <w:tc>
          <w:tcPr>
            <w:tcW w:w="409" w:type="pct"/>
            <w:shd w:val="clear" w:color="auto" w:fill="auto"/>
          </w:tcPr>
          <w:p w:rsidR="009A6D0D" w:rsidRPr="00CF4C4E" w:rsidRDefault="009A6D0D" w:rsidP="00CF4C4E">
            <w:pPr>
              <w:rPr>
                <w:sz w:val="20"/>
                <w:szCs w:val="20"/>
                <w:lang w:val="en-GB"/>
              </w:rPr>
            </w:pPr>
          </w:p>
        </w:tc>
        <w:tc>
          <w:tcPr>
            <w:tcW w:w="636" w:type="pct"/>
            <w:shd w:val="clear" w:color="auto" w:fill="auto"/>
          </w:tcPr>
          <w:p w:rsidR="009A6D0D" w:rsidRPr="00CF4C4E" w:rsidRDefault="009A6D0D" w:rsidP="00CF4C4E">
            <w:pPr>
              <w:rPr>
                <w:sz w:val="20"/>
                <w:szCs w:val="20"/>
                <w:lang w:val="en-GB"/>
              </w:rPr>
            </w:pPr>
          </w:p>
        </w:tc>
        <w:tc>
          <w:tcPr>
            <w:tcW w:w="538" w:type="pct"/>
            <w:shd w:val="clear" w:color="auto" w:fill="auto"/>
          </w:tcPr>
          <w:p w:rsidR="009A6D0D" w:rsidRPr="00CF4C4E" w:rsidRDefault="009A6D0D" w:rsidP="00CF4C4E">
            <w:pPr>
              <w:rPr>
                <w:sz w:val="20"/>
                <w:szCs w:val="20"/>
                <w:lang w:val="en-GB"/>
              </w:rPr>
            </w:pPr>
          </w:p>
        </w:tc>
        <w:tc>
          <w:tcPr>
            <w:tcW w:w="763" w:type="pct"/>
            <w:shd w:val="clear" w:color="auto" w:fill="auto"/>
          </w:tcPr>
          <w:p w:rsidR="009A6D0D" w:rsidRPr="00CF4C4E" w:rsidRDefault="009A6D0D" w:rsidP="00CF4C4E">
            <w:pPr>
              <w:rPr>
                <w:sz w:val="20"/>
                <w:szCs w:val="20"/>
                <w:lang w:val="en-GB"/>
              </w:rPr>
            </w:pPr>
          </w:p>
        </w:tc>
      </w:tr>
      <w:tr w:rsidR="009A6D0D" w:rsidRPr="00CF4C4E" w:rsidTr="000553F1">
        <w:trPr>
          <w:trHeight w:val="140"/>
        </w:trPr>
        <w:tc>
          <w:tcPr>
            <w:tcW w:w="847" w:type="pct"/>
            <w:tcBorders>
              <w:left w:val="double" w:sz="4" w:space="0" w:color="auto"/>
            </w:tcBorders>
            <w:shd w:val="clear" w:color="auto" w:fill="auto"/>
          </w:tcPr>
          <w:p w:rsidR="009A6D0D" w:rsidRPr="00CF4C4E" w:rsidRDefault="009A6D0D" w:rsidP="00CF4C4E">
            <w:pPr>
              <w:rPr>
                <w:sz w:val="20"/>
                <w:szCs w:val="20"/>
                <w:lang w:val="en-GB"/>
              </w:rPr>
            </w:pPr>
            <w:r w:rsidRPr="00CF4C4E">
              <w:rPr>
                <w:sz w:val="20"/>
                <w:szCs w:val="20"/>
                <w:lang w:val="en-GB"/>
              </w:rPr>
              <w:t>4.1.3. Adjust human, IT and financial capacities in line with the outcomes of the analysis under 4.1.2;</w:t>
            </w:r>
          </w:p>
        </w:tc>
        <w:tc>
          <w:tcPr>
            <w:tcW w:w="404" w:type="pct"/>
            <w:shd w:val="clear" w:color="auto" w:fill="auto"/>
          </w:tcPr>
          <w:p w:rsidR="009A6D0D" w:rsidRPr="00CF4C4E" w:rsidRDefault="005768D4" w:rsidP="00CF4C4E">
            <w:pPr>
              <w:rPr>
                <w:sz w:val="20"/>
                <w:szCs w:val="20"/>
                <w:lang w:val="en-GB"/>
              </w:rPr>
            </w:pPr>
            <w:r w:rsidRPr="00CF4C4E">
              <w:rPr>
                <w:sz w:val="20"/>
                <w:szCs w:val="20"/>
                <w:lang w:val="en-GB"/>
              </w:rPr>
              <w:t>GoS</w:t>
            </w:r>
          </w:p>
        </w:tc>
        <w:tc>
          <w:tcPr>
            <w:tcW w:w="438" w:type="pct"/>
            <w:shd w:val="clear" w:color="auto" w:fill="auto"/>
          </w:tcPr>
          <w:p w:rsidR="009A6D0D" w:rsidRPr="00CF4C4E" w:rsidRDefault="009A6D0D" w:rsidP="00CF4C4E">
            <w:pPr>
              <w:rPr>
                <w:sz w:val="20"/>
                <w:szCs w:val="20"/>
                <w:lang w:val="en-GB"/>
              </w:rPr>
            </w:pPr>
            <w:r w:rsidRPr="00CF4C4E">
              <w:rPr>
                <w:sz w:val="20"/>
                <w:szCs w:val="20"/>
                <w:lang w:val="en-GB"/>
              </w:rPr>
              <w:t>AML/CFT CB</w:t>
            </w:r>
          </w:p>
        </w:tc>
        <w:tc>
          <w:tcPr>
            <w:tcW w:w="410" w:type="pct"/>
            <w:shd w:val="clear" w:color="auto" w:fill="auto"/>
          </w:tcPr>
          <w:p w:rsidR="009A6D0D" w:rsidRPr="00CF4C4E" w:rsidRDefault="009A6D0D" w:rsidP="00CF4C4E">
            <w:pPr>
              <w:rPr>
                <w:sz w:val="20"/>
                <w:szCs w:val="20"/>
                <w:lang w:val="en-GB"/>
              </w:rPr>
            </w:pPr>
            <w:r w:rsidRPr="00CF4C4E">
              <w:rPr>
                <w:sz w:val="20"/>
                <w:szCs w:val="20"/>
                <w:lang w:val="en-GB"/>
              </w:rPr>
              <w:t xml:space="preserve">III quarter of 2022 </w:t>
            </w:r>
          </w:p>
        </w:tc>
        <w:tc>
          <w:tcPr>
            <w:tcW w:w="555" w:type="pct"/>
            <w:shd w:val="clear" w:color="auto" w:fill="auto"/>
          </w:tcPr>
          <w:p w:rsidR="009A6D0D" w:rsidRPr="00CF4C4E" w:rsidRDefault="009A6D0D" w:rsidP="00CF4C4E">
            <w:pPr>
              <w:rPr>
                <w:sz w:val="20"/>
                <w:szCs w:val="20"/>
                <w:lang w:val="en-GB"/>
              </w:rPr>
            </w:pPr>
            <w:r w:rsidRPr="00CF4C4E">
              <w:rPr>
                <w:sz w:val="20"/>
                <w:szCs w:val="20"/>
                <w:lang w:val="en-GB"/>
              </w:rPr>
              <w:t>Financed as part of regular activities of staff/Internation</w:t>
            </w:r>
            <w:r w:rsidRPr="00CF4C4E">
              <w:rPr>
                <w:sz w:val="20"/>
                <w:szCs w:val="20"/>
                <w:lang w:val="en-GB"/>
              </w:rPr>
              <w:lastRenderedPageBreak/>
              <w:t>al donor funds</w:t>
            </w:r>
          </w:p>
        </w:tc>
        <w:tc>
          <w:tcPr>
            <w:tcW w:w="409" w:type="pct"/>
            <w:shd w:val="clear" w:color="auto" w:fill="auto"/>
          </w:tcPr>
          <w:p w:rsidR="009A6D0D" w:rsidRPr="00CF4C4E" w:rsidRDefault="009A6D0D" w:rsidP="00CF4C4E">
            <w:pPr>
              <w:rPr>
                <w:sz w:val="20"/>
                <w:szCs w:val="20"/>
                <w:lang w:val="en-GB"/>
              </w:rPr>
            </w:pPr>
          </w:p>
        </w:tc>
        <w:tc>
          <w:tcPr>
            <w:tcW w:w="636" w:type="pct"/>
            <w:shd w:val="clear" w:color="auto" w:fill="auto"/>
          </w:tcPr>
          <w:p w:rsidR="009A6D0D" w:rsidRPr="00CF4C4E" w:rsidRDefault="009A6D0D" w:rsidP="00CF4C4E">
            <w:pPr>
              <w:rPr>
                <w:sz w:val="20"/>
                <w:szCs w:val="20"/>
                <w:lang w:val="en-GB"/>
              </w:rPr>
            </w:pPr>
          </w:p>
        </w:tc>
        <w:tc>
          <w:tcPr>
            <w:tcW w:w="538" w:type="pct"/>
            <w:shd w:val="clear" w:color="auto" w:fill="auto"/>
          </w:tcPr>
          <w:p w:rsidR="009A6D0D" w:rsidRPr="00CF4C4E" w:rsidRDefault="009A6D0D" w:rsidP="00CF4C4E">
            <w:pPr>
              <w:rPr>
                <w:sz w:val="20"/>
                <w:szCs w:val="20"/>
                <w:lang w:val="en-GB"/>
              </w:rPr>
            </w:pPr>
          </w:p>
        </w:tc>
        <w:tc>
          <w:tcPr>
            <w:tcW w:w="763" w:type="pct"/>
            <w:shd w:val="clear" w:color="auto" w:fill="auto"/>
          </w:tcPr>
          <w:p w:rsidR="009A6D0D" w:rsidRPr="00CF4C4E" w:rsidRDefault="009A6D0D" w:rsidP="00CF4C4E">
            <w:pPr>
              <w:rPr>
                <w:sz w:val="20"/>
                <w:szCs w:val="20"/>
                <w:lang w:val="en-GB"/>
              </w:rPr>
            </w:pPr>
          </w:p>
        </w:tc>
      </w:tr>
      <w:tr w:rsidR="009A6D0D" w:rsidRPr="00CF4C4E" w:rsidTr="000553F1">
        <w:trPr>
          <w:trHeight w:val="140"/>
        </w:trPr>
        <w:tc>
          <w:tcPr>
            <w:tcW w:w="847" w:type="pct"/>
            <w:tcBorders>
              <w:left w:val="double" w:sz="4" w:space="0" w:color="auto"/>
            </w:tcBorders>
            <w:shd w:val="clear" w:color="auto" w:fill="auto"/>
          </w:tcPr>
          <w:p w:rsidR="009A6D0D" w:rsidRPr="00CF4C4E" w:rsidRDefault="009A6D0D" w:rsidP="00CF4C4E">
            <w:pPr>
              <w:rPr>
                <w:sz w:val="20"/>
                <w:szCs w:val="20"/>
                <w:lang w:val="en-GB"/>
              </w:rPr>
            </w:pPr>
            <w:r w:rsidRPr="00CF4C4E">
              <w:rPr>
                <w:sz w:val="20"/>
                <w:szCs w:val="20"/>
                <w:lang w:val="en-GB"/>
              </w:rPr>
              <w:lastRenderedPageBreak/>
              <w:t>4.1.4. Continue systematic research of terrorist financing cases - through exchange of APML reports with competent authorities</w:t>
            </w:r>
          </w:p>
        </w:tc>
        <w:tc>
          <w:tcPr>
            <w:tcW w:w="404" w:type="pct"/>
            <w:shd w:val="clear" w:color="auto" w:fill="auto"/>
          </w:tcPr>
          <w:p w:rsidR="009A6D0D" w:rsidRPr="00CF4C4E" w:rsidRDefault="009A6D0D" w:rsidP="00CF4C4E">
            <w:pPr>
              <w:rPr>
                <w:sz w:val="20"/>
                <w:szCs w:val="20"/>
                <w:lang w:val="en-GB"/>
              </w:rPr>
            </w:pPr>
            <w:r w:rsidRPr="00CF4C4E">
              <w:rPr>
                <w:sz w:val="20"/>
                <w:szCs w:val="20"/>
                <w:lang w:val="en-GB"/>
              </w:rPr>
              <w:t>APML</w:t>
            </w:r>
          </w:p>
        </w:tc>
        <w:tc>
          <w:tcPr>
            <w:tcW w:w="438" w:type="pct"/>
            <w:shd w:val="clear" w:color="auto" w:fill="auto"/>
          </w:tcPr>
          <w:p w:rsidR="009A6D0D" w:rsidRPr="00CF4C4E" w:rsidRDefault="009A6D0D" w:rsidP="00CF4C4E">
            <w:pPr>
              <w:rPr>
                <w:sz w:val="20"/>
                <w:szCs w:val="20"/>
                <w:lang w:val="en-GB"/>
              </w:rPr>
            </w:pPr>
            <w:r w:rsidRPr="00CF4C4E">
              <w:rPr>
                <w:sz w:val="20"/>
                <w:szCs w:val="20"/>
                <w:lang w:val="en-GB"/>
              </w:rPr>
              <w:t>POOC, SIA, MoI</w:t>
            </w:r>
          </w:p>
        </w:tc>
        <w:tc>
          <w:tcPr>
            <w:tcW w:w="410" w:type="pct"/>
            <w:shd w:val="clear" w:color="auto" w:fill="auto"/>
          </w:tcPr>
          <w:p w:rsidR="009A6D0D" w:rsidRPr="00CF4C4E" w:rsidRDefault="009A6D0D" w:rsidP="00CF4C4E">
            <w:pPr>
              <w:rPr>
                <w:sz w:val="20"/>
                <w:szCs w:val="20"/>
                <w:lang w:val="en-GB"/>
              </w:rPr>
            </w:pPr>
            <w:r w:rsidRPr="00CF4C4E">
              <w:rPr>
                <w:sz w:val="20"/>
                <w:szCs w:val="20"/>
                <w:lang w:val="en-GB"/>
              </w:rPr>
              <w:t>IV quarter of 2022</w:t>
            </w:r>
          </w:p>
        </w:tc>
        <w:tc>
          <w:tcPr>
            <w:tcW w:w="555" w:type="pct"/>
            <w:shd w:val="clear" w:color="auto" w:fill="auto"/>
          </w:tcPr>
          <w:p w:rsidR="009A6D0D" w:rsidRPr="00CF4C4E" w:rsidRDefault="009A6D0D" w:rsidP="00CF4C4E">
            <w:pPr>
              <w:rPr>
                <w:sz w:val="20"/>
                <w:szCs w:val="20"/>
                <w:lang w:val="en-GB"/>
              </w:rPr>
            </w:pPr>
            <w:r w:rsidRPr="00CF4C4E">
              <w:rPr>
                <w:sz w:val="20"/>
                <w:szCs w:val="20"/>
                <w:lang w:val="en-GB"/>
              </w:rPr>
              <w:t>Financed as part of regular activities of staff</w:t>
            </w:r>
          </w:p>
        </w:tc>
        <w:tc>
          <w:tcPr>
            <w:tcW w:w="409" w:type="pct"/>
            <w:shd w:val="clear" w:color="auto" w:fill="auto"/>
          </w:tcPr>
          <w:p w:rsidR="009A6D0D" w:rsidRPr="00CF4C4E" w:rsidRDefault="009A6D0D" w:rsidP="00CF4C4E">
            <w:pPr>
              <w:rPr>
                <w:sz w:val="20"/>
                <w:szCs w:val="20"/>
                <w:lang w:val="en-GB"/>
              </w:rPr>
            </w:pPr>
          </w:p>
        </w:tc>
        <w:tc>
          <w:tcPr>
            <w:tcW w:w="636" w:type="pct"/>
            <w:shd w:val="clear" w:color="auto" w:fill="auto"/>
          </w:tcPr>
          <w:p w:rsidR="009A6D0D" w:rsidRPr="00CF4C4E" w:rsidRDefault="009A6D0D" w:rsidP="00CF4C4E">
            <w:pPr>
              <w:rPr>
                <w:sz w:val="20"/>
                <w:szCs w:val="20"/>
                <w:lang w:val="en-GB"/>
              </w:rPr>
            </w:pPr>
          </w:p>
        </w:tc>
        <w:tc>
          <w:tcPr>
            <w:tcW w:w="538" w:type="pct"/>
            <w:shd w:val="clear" w:color="auto" w:fill="auto"/>
          </w:tcPr>
          <w:p w:rsidR="009A6D0D" w:rsidRPr="00CF4C4E" w:rsidRDefault="009A6D0D" w:rsidP="00CF4C4E">
            <w:pPr>
              <w:rPr>
                <w:sz w:val="20"/>
                <w:szCs w:val="20"/>
                <w:lang w:val="en-GB"/>
              </w:rPr>
            </w:pPr>
          </w:p>
        </w:tc>
        <w:tc>
          <w:tcPr>
            <w:tcW w:w="763" w:type="pct"/>
            <w:shd w:val="clear" w:color="auto" w:fill="auto"/>
          </w:tcPr>
          <w:p w:rsidR="009A6D0D" w:rsidRPr="00CF4C4E" w:rsidRDefault="009A6D0D" w:rsidP="00CF4C4E">
            <w:pPr>
              <w:rPr>
                <w:sz w:val="20"/>
                <w:szCs w:val="20"/>
                <w:lang w:val="en-GB"/>
              </w:rPr>
            </w:pPr>
          </w:p>
        </w:tc>
      </w:tr>
      <w:tr w:rsidR="009A6D0D" w:rsidRPr="00CF4C4E" w:rsidTr="000553F1">
        <w:trPr>
          <w:trHeight w:val="140"/>
        </w:trPr>
        <w:tc>
          <w:tcPr>
            <w:tcW w:w="847" w:type="pct"/>
            <w:tcBorders>
              <w:left w:val="double" w:sz="4" w:space="0" w:color="auto"/>
            </w:tcBorders>
            <w:shd w:val="clear" w:color="auto" w:fill="auto"/>
          </w:tcPr>
          <w:p w:rsidR="009A6D0D" w:rsidRPr="00CF4C4E" w:rsidRDefault="009A6D0D" w:rsidP="00CF4C4E">
            <w:pPr>
              <w:rPr>
                <w:sz w:val="20"/>
                <w:szCs w:val="20"/>
                <w:lang w:val="en-GB"/>
              </w:rPr>
            </w:pPr>
            <w:r w:rsidRPr="00CF4C4E">
              <w:rPr>
                <w:sz w:val="20"/>
                <w:szCs w:val="20"/>
                <w:lang w:val="en-GB"/>
              </w:rPr>
              <w:t>4.1.5 Improve CFT cooperation with relevant international entities;</w:t>
            </w:r>
          </w:p>
        </w:tc>
        <w:tc>
          <w:tcPr>
            <w:tcW w:w="404" w:type="pct"/>
            <w:shd w:val="clear" w:color="auto" w:fill="auto"/>
          </w:tcPr>
          <w:p w:rsidR="009A6D0D" w:rsidRPr="00CF4C4E" w:rsidRDefault="009A6D0D" w:rsidP="00CF4C4E">
            <w:pPr>
              <w:rPr>
                <w:sz w:val="20"/>
                <w:szCs w:val="20"/>
                <w:lang w:val="en-GB"/>
              </w:rPr>
            </w:pPr>
            <w:r w:rsidRPr="00CF4C4E">
              <w:rPr>
                <w:sz w:val="20"/>
                <w:szCs w:val="20"/>
                <w:lang w:val="en-GB"/>
              </w:rPr>
              <w:t>NCBT</w:t>
            </w:r>
          </w:p>
        </w:tc>
        <w:tc>
          <w:tcPr>
            <w:tcW w:w="438" w:type="pct"/>
            <w:shd w:val="clear" w:color="auto" w:fill="auto"/>
          </w:tcPr>
          <w:p w:rsidR="009A6D0D" w:rsidRPr="00CF4C4E" w:rsidRDefault="009A6D0D" w:rsidP="00CF4C4E">
            <w:pPr>
              <w:rPr>
                <w:sz w:val="20"/>
                <w:szCs w:val="20"/>
                <w:lang w:val="en-GB"/>
              </w:rPr>
            </w:pPr>
            <w:r w:rsidRPr="00CF4C4E">
              <w:rPr>
                <w:sz w:val="20"/>
                <w:szCs w:val="20"/>
                <w:lang w:val="en-GB"/>
              </w:rPr>
              <w:t>MFA, APML, MoI, SIA, MIA, MSA,</w:t>
            </w:r>
          </w:p>
          <w:p w:rsidR="009A6D0D" w:rsidRPr="00CF4C4E" w:rsidRDefault="009A6D0D" w:rsidP="00CF4C4E">
            <w:pPr>
              <w:rPr>
                <w:sz w:val="20"/>
                <w:szCs w:val="20"/>
                <w:lang w:val="en-GB"/>
              </w:rPr>
            </w:pPr>
            <w:r w:rsidRPr="00CF4C4E">
              <w:rPr>
                <w:sz w:val="20"/>
                <w:szCs w:val="20"/>
                <w:lang w:val="en-GB"/>
              </w:rPr>
              <w:t>NSCCIPO</w:t>
            </w:r>
          </w:p>
        </w:tc>
        <w:tc>
          <w:tcPr>
            <w:tcW w:w="410" w:type="pct"/>
            <w:shd w:val="clear" w:color="auto" w:fill="auto"/>
          </w:tcPr>
          <w:p w:rsidR="009A6D0D" w:rsidRPr="00CF4C4E" w:rsidRDefault="009A6D0D" w:rsidP="00CF4C4E">
            <w:pPr>
              <w:rPr>
                <w:sz w:val="20"/>
                <w:szCs w:val="20"/>
                <w:lang w:val="en-GB"/>
              </w:rPr>
            </w:pPr>
            <w:r w:rsidRPr="00CF4C4E">
              <w:rPr>
                <w:sz w:val="20"/>
                <w:szCs w:val="20"/>
                <w:lang w:val="en-GB"/>
              </w:rPr>
              <w:t>IV quarter of 2022</w:t>
            </w:r>
          </w:p>
        </w:tc>
        <w:tc>
          <w:tcPr>
            <w:tcW w:w="555" w:type="pct"/>
            <w:shd w:val="clear" w:color="auto" w:fill="auto"/>
          </w:tcPr>
          <w:p w:rsidR="009A6D0D" w:rsidRPr="00CF4C4E" w:rsidRDefault="009A6D0D" w:rsidP="00CF4C4E">
            <w:pPr>
              <w:rPr>
                <w:sz w:val="20"/>
                <w:szCs w:val="20"/>
                <w:lang w:val="en-GB"/>
              </w:rPr>
            </w:pPr>
            <w:r w:rsidRPr="00CF4C4E">
              <w:rPr>
                <w:sz w:val="20"/>
                <w:szCs w:val="20"/>
                <w:lang w:val="en-GB"/>
              </w:rPr>
              <w:t>Financed as part of regular activities of staff</w:t>
            </w:r>
          </w:p>
        </w:tc>
        <w:tc>
          <w:tcPr>
            <w:tcW w:w="409" w:type="pct"/>
            <w:shd w:val="clear" w:color="auto" w:fill="auto"/>
          </w:tcPr>
          <w:p w:rsidR="009A6D0D" w:rsidRPr="00CF4C4E" w:rsidRDefault="009A6D0D" w:rsidP="00CF4C4E">
            <w:pPr>
              <w:rPr>
                <w:sz w:val="20"/>
                <w:szCs w:val="20"/>
                <w:lang w:val="en-GB"/>
              </w:rPr>
            </w:pPr>
          </w:p>
        </w:tc>
        <w:tc>
          <w:tcPr>
            <w:tcW w:w="636" w:type="pct"/>
            <w:shd w:val="clear" w:color="auto" w:fill="auto"/>
          </w:tcPr>
          <w:p w:rsidR="009A6D0D" w:rsidRPr="00CF4C4E" w:rsidRDefault="009A6D0D" w:rsidP="00CF4C4E">
            <w:pPr>
              <w:rPr>
                <w:sz w:val="20"/>
                <w:szCs w:val="20"/>
                <w:lang w:val="en-GB"/>
              </w:rPr>
            </w:pPr>
          </w:p>
        </w:tc>
        <w:tc>
          <w:tcPr>
            <w:tcW w:w="538" w:type="pct"/>
            <w:shd w:val="clear" w:color="auto" w:fill="auto"/>
          </w:tcPr>
          <w:p w:rsidR="009A6D0D" w:rsidRPr="00CF4C4E" w:rsidRDefault="009A6D0D" w:rsidP="00CF4C4E">
            <w:pPr>
              <w:rPr>
                <w:sz w:val="20"/>
                <w:szCs w:val="20"/>
                <w:lang w:val="en-GB"/>
              </w:rPr>
            </w:pPr>
          </w:p>
        </w:tc>
        <w:tc>
          <w:tcPr>
            <w:tcW w:w="763" w:type="pct"/>
            <w:shd w:val="clear" w:color="auto" w:fill="auto"/>
          </w:tcPr>
          <w:p w:rsidR="009A6D0D" w:rsidRPr="00CF4C4E" w:rsidRDefault="009A6D0D" w:rsidP="00CF4C4E">
            <w:pPr>
              <w:rPr>
                <w:sz w:val="20"/>
                <w:szCs w:val="20"/>
                <w:lang w:val="en-GB"/>
              </w:rPr>
            </w:pPr>
          </w:p>
        </w:tc>
      </w:tr>
      <w:tr w:rsidR="009A6D0D" w:rsidRPr="00CF4C4E" w:rsidTr="000553F1">
        <w:trPr>
          <w:trHeight w:val="140"/>
        </w:trPr>
        <w:tc>
          <w:tcPr>
            <w:tcW w:w="847" w:type="pct"/>
            <w:tcBorders>
              <w:left w:val="double" w:sz="4" w:space="0" w:color="auto"/>
            </w:tcBorders>
            <w:shd w:val="clear" w:color="auto" w:fill="auto"/>
          </w:tcPr>
          <w:p w:rsidR="009A6D0D" w:rsidRPr="00CF4C4E" w:rsidRDefault="009A6D0D" w:rsidP="00CF4C4E">
            <w:pPr>
              <w:rPr>
                <w:sz w:val="20"/>
                <w:szCs w:val="20"/>
                <w:lang w:val="en-GB"/>
              </w:rPr>
            </w:pPr>
            <w:r w:rsidRPr="00CF4C4E">
              <w:rPr>
                <w:sz w:val="20"/>
                <w:szCs w:val="20"/>
                <w:lang w:val="en-GB"/>
              </w:rPr>
              <w:t>4.1.6 Analyse compliance of CFT provisions in the current Criminal Code with international standards</w:t>
            </w:r>
          </w:p>
        </w:tc>
        <w:tc>
          <w:tcPr>
            <w:tcW w:w="404" w:type="pct"/>
            <w:shd w:val="clear" w:color="auto" w:fill="auto"/>
          </w:tcPr>
          <w:p w:rsidR="009A6D0D" w:rsidRPr="00CF4C4E" w:rsidRDefault="009A6D0D" w:rsidP="00CF4C4E">
            <w:pPr>
              <w:rPr>
                <w:sz w:val="20"/>
                <w:szCs w:val="20"/>
                <w:lang w:val="en-GB"/>
              </w:rPr>
            </w:pPr>
            <w:r w:rsidRPr="00CF4C4E">
              <w:rPr>
                <w:sz w:val="20"/>
                <w:szCs w:val="20"/>
                <w:lang w:val="en-GB"/>
              </w:rPr>
              <w:t>MoJ</w:t>
            </w:r>
          </w:p>
        </w:tc>
        <w:tc>
          <w:tcPr>
            <w:tcW w:w="438" w:type="pct"/>
            <w:shd w:val="clear" w:color="auto" w:fill="auto"/>
          </w:tcPr>
          <w:p w:rsidR="009A6D0D" w:rsidRPr="00CF4C4E" w:rsidRDefault="009A6D0D" w:rsidP="00CF4C4E">
            <w:pPr>
              <w:rPr>
                <w:sz w:val="20"/>
                <w:szCs w:val="20"/>
                <w:lang w:val="en-GB"/>
              </w:rPr>
            </w:pPr>
            <w:r w:rsidRPr="00CF4C4E">
              <w:rPr>
                <w:sz w:val="20"/>
                <w:szCs w:val="20"/>
                <w:lang w:val="en-GB"/>
              </w:rPr>
              <w:t>RPPO</w:t>
            </w:r>
          </w:p>
        </w:tc>
        <w:tc>
          <w:tcPr>
            <w:tcW w:w="410" w:type="pct"/>
            <w:shd w:val="clear" w:color="auto" w:fill="auto"/>
          </w:tcPr>
          <w:p w:rsidR="009A6D0D" w:rsidRPr="00CF4C4E" w:rsidRDefault="009A6D0D" w:rsidP="00CF4C4E">
            <w:pPr>
              <w:rPr>
                <w:sz w:val="20"/>
                <w:szCs w:val="20"/>
                <w:lang w:val="en-GB"/>
              </w:rPr>
            </w:pPr>
            <w:r w:rsidRPr="00CF4C4E">
              <w:rPr>
                <w:sz w:val="20"/>
                <w:szCs w:val="20"/>
                <w:lang w:val="en-GB"/>
              </w:rPr>
              <w:t>IV quarter of 2022</w:t>
            </w:r>
          </w:p>
        </w:tc>
        <w:tc>
          <w:tcPr>
            <w:tcW w:w="555" w:type="pct"/>
            <w:shd w:val="clear" w:color="auto" w:fill="auto"/>
          </w:tcPr>
          <w:p w:rsidR="009A6D0D" w:rsidRPr="00CF4C4E" w:rsidRDefault="009A6D0D" w:rsidP="00CF4C4E">
            <w:pPr>
              <w:rPr>
                <w:sz w:val="20"/>
                <w:szCs w:val="20"/>
                <w:lang w:val="en-GB"/>
              </w:rPr>
            </w:pPr>
            <w:r w:rsidRPr="00CF4C4E">
              <w:rPr>
                <w:sz w:val="20"/>
                <w:szCs w:val="20"/>
                <w:lang w:val="en-GB"/>
              </w:rPr>
              <w:t>Financed as part of regular activities of staff</w:t>
            </w:r>
          </w:p>
        </w:tc>
        <w:tc>
          <w:tcPr>
            <w:tcW w:w="409" w:type="pct"/>
            <w:shd w:val="clear" w:color="auto" w:fill="auto"/>
          </w:tcPr>
          <w:p w:rsidR="009A6D0D" w:rsidRPr="00CF4C4E" w:rsidRDefault="009A6D0D" w:rsidP="00CF4C4E">
            <w:pPr>
              <w:rPr>
                <w:sz w:val="20"/>
                <w:szCs w:val="20"/>
                <w:lang w:val="en-GB"/>
              </w:rPr>
            </w:pPr>
          </w:p>
        </w:tc>
        <w:tc>
          <w:tcPr>
            <w:tcW w:w="636" w:type="pct"/>
            <w:shd w:val="clear" w:color="auto" w:fill="auto"/>
          </w:tcPr>
          <w:p w:rsidR="009A6D0D" w:rsidRPr="00CF4C4E" w:rsidRDefault="009A6D0D" w:rsidP="00CF4C4E">
            <w:pPr>
              <w:rPr>
                <w:sz w:val="20"/>
                <w:szCs w:val="20"/>
                <w:lang w:val="en-GB"/>
              </w:rPr>
            </w:pPr>
          </w:p>
        </w:tc>
        <w:tc>
          <w:tcPr>
            <w:tcW w:w="538" w:type="pct"/>
            <w:shd w:val="clear" w:color="auto" w:fill="auto"/>
          </w:tcPr>
          <w:p w:rsidR="009A6D0D" w:rsidRPr="00CF4C4E" w:rsidRDefault="009A6D0D" w:rsidP="00CF4C4E">
            <w:pPr>
              <w:rPr>
                <w:sz w:val="20"/>
                <w:szCs w:val="20"/>
                <w:lang w:val="en-GB"/>
              </w:rPr>
            </w:pPr>
          </w:p>
        </w:tc>
        <w:tc>
          <w:tcPr>
            <w:tcW w:w="763" w:type="pct"/>
            <w:shd w:val="clear" w:color="auto" w:fill="auto"/>
          </w:tcPr>
          <w:p w:rsidR="009A6D0D" w:rsidRPr="00CF4C4E" w:rsidRDefault="009A6D0D" w:rsidP="00CF4C4E">
            <w:pPr>
              <w:rPr>
                <w:sz w:val="20"/>
                <w:szCs w:val="20"/>
                <w:lang w:val="en-GB"/>
              </w:rPr>
            </w:pPr>
          </w:p>
        </w:tc>
      </w:tr>
      <w:tr w:rsidR="009A6D0D" w:rsidRPr="00CF4C4E" w:rsidTr="000553F1">
        <w:trPr>
          <w:trHeight w:val="140"/>
        </w:trPr>
        <w:tc>
          <w:tcPr>
            <w:tcW w:w="847" w:type="pct"/>
            <w:tcBorders>
              <w:left w:val="double" w:sz="4" w:space="0" w:color="auto"/>
            </w:tcBorders>
            <w:shd w:val="clear" w:color="auto" w:fill="auto"/>
          </w:tcPr>
          <w:p w:rsidR="009A6D0D" w:rsidRPr="00CF4C4E" w:rsidRDefault="009A6D0D" w:rsidP="00CF4C4E">
            <w:pPr>
              <w:rPr>
                <w:sz w:val="20"/>
                <w:szCs w:val="20"/>
                <w:lang w:val="en-GB"/>
              </w:rPr>
            </w:pPr>
            <w:r w:rsidRPr="00CF4C4E">
              <w:rPr>
                <w:sz w:val="20"/>
                <w:szCs w:val="20"/>
                <w:lang w:val="en-GB"/>
              </w:rPr>
              <w:t>4.1.7. Continue training the MoI Financial Investigations Unit on identifying terrorist financing activities;</w:t>
            </w:r>
          </w:p>
        </w:tc>
        <w:tc>
          <w:tcPr>
            <w:tcW w:w="404" w:type="pct"/>
            <w:shd w:val="clear" w:color="auto" w:fill="auto"/>
          </w:tcPr>
          <w:p w:rsidR="009A6D0D" w:rsidRPr="00CF4C4E" w:rsidRDefault="009A6D0D" w:rsidP="00CF4C4E">
            <w:pPr>
              <w:rPr>
                <w:sz w:val="20"/>
                <w:szCs w:val="20"/>
                <w:lang w:val="en-GB"/>
              </w:rPr>
            </w:pPr>
            <w:r w:rsidRPr="00CF4C4E">
              <w:rPr>
                <w:sz w:val="20"/>
                <w:szCs w:val="20"/>
                <w:lang w:val="en-GB"/>
              </w:rPr>
              <w:t xml:space="preserve">AML/CFT CB </w:t>
            </w:r>
          </w:p>
        </w:tc>
        <w:tc>
          <w:tcPr>
            <w:tcW w:w="438" w:type="pct"/>
            <w:shd w:val="clear" w:color="auto" w:fill="auto"/>
          </w:tcPr>
          <w:p w:rsidR="009A6D0D" w:rsidRPr="00CF4C4E" w:rsidRDefault="009A6D0D" w:rsidP="00CF4C4E">
            <w:pPr>
              <w:rPr>
                <w:sz w:val="20"/>
                <w:szCs w:val="20"/>
                <w:lang w:val="en-GB"/>
              </w:rPr>
            </w:pPr>
            <w:r w:rsidRPr="00CF4C4E">
              <w:rPr>
                <w:sz w:val="20"/>
                <w:szCs w:val="20"/>
                <w:lang w:val="en-GB"/>
              </w:rPr>
              <w:t>MOI, APML</w:t>
            </w:r>
          </w:p>
        </w:tc>
        <w:tc>
          <w:tcPr>
            <w:tcW w:w="410" w:type="pct"/>
            <w:shd w:val="clear" w:color="auto" w:fill="auto"/>
          </w:tcPr>
          <w:p w:rsidR="009A6D0D" w:rsidRPr="00CF4C4E" w:rsidRDefault="009A6D0D" w:rsidP="00CF4C4E">
            <w:pPr>
              <w:rPr>
                <w:sz w:val="20"/>
                <w:szCs w:val="20"/>
                <w:lang w:val="en-GB"/>
              </w:rPr>
            </w:pPr>
            <w:r w:rsidRPr="00CF4C4E">
              <w:rPr>
                <w:sz w:val="20"/>
                <w:szCs w:val="20"/>
                <w:lang w:val="en-GB"/>
              </w:rPr>
              <w:t>IV quarter of 2022</w:t>
            </w:r>
          </w:p>
        </w:tc>
        <w:tc>
          <w:tcPr>
            <w:tcW w:w="555" w:type="pct"/>
            <w:shd w:val="clear" w:color="auto" w:fill="auto"/>
          </w:tcPr>
          <w:p w:rsidR="009A6D0D" w:rsidRPr="00CF4C4E" w:rsidRDefault="009A6D0D" w:rsidP="00CF4C4E">
            <w:pPr>
              <w:rPr>
                <w:sz w:val="20"/>
                <w:szCs w:val="20"/>
                <w:lang w:val="en-GB"/>
              </w:rPr>
            </w:pPr>
            <w:r w:rsidRPr="00CF4C4E">
              <w:rPr>
                <w:sz w:val="20"/>
                <w:szCs w:val="20"/>
                <w:lang w:val="en-GB"/>
              </w:rPr>
              <w:t>Financed as part of regular activities of staff</w:t>
            </w:r>
          </w:p>
          <w:p w:rsidR="009A6D0D" w:rsidRPr="00CF4C4E" w:rsidRDefault="009A6D0D" w:rsidP="00CF4C4E">
            <w:pPr>
              <w:rPr>
                <w:sz w:val="20"/>
                <w:szCs w:val="20"/>
                <w:lang w:val="en-GB"/>
              </w:rPr>
            </w:pPr>
          </w:p>
          <w:p w:rsidR="009A6D0D" w:rsidRPr="00CF4C4E" w:rsidRDefault="009A6D0D" w:rsidP="00CF4C4E">
            <w:pPr>
              <w:rPr>
                <w:sz w:val="20"/>
                <w:szCs w:val="20"/>
                <w:lang w:val="en-GB"/>
              </w:rPr>
            </w:pPr>
            <w:r w:rsidRPr="00CF4C4E">
              <w:rPr>
                <w:sz w:val="20"/>
                <w:szCs w:val="20"/>
                <w:lang w:val="en-GB"/>
              </w:rPr>
              <w:t xml:space="preserve"> </w:t>
            </w:r>
          </w:p>
        </w:tc>
        <w:tc>
          <w:tcPr>
            <w:tcW w:w="409" w:type="pct"/>
            <w:shd w:val="clear" w:color="auto" w:fill="auto"/>
          </w:tcPr>
          <w:p w:rsidR="009A6D0D" w:rsidRPr="00CF4C4E" w:rsidRDefault="009A6D0D" w:rsidP="00CF4C4E">
            <w:pPr>
              <w:rPr>
                <w:sz w:val="20"/>
                <w:szCs w:val="20"/>
                <w:lang w:val="en-GB"/>
              </w:rPr>
            </w:pPr>
          </w:p>
        </w:tc>
        <w:tc>
          <w:tcPr>
            <w:tcW w:w="636" w:type="pct"/>
            <w:shd w:val="clear" w:color="auto" w:fill="auto"/>
          </w:tcPr>
          <w:p w:rsidR="009A6D0D" w:rsidRPr="00CF4C4E" w:rsidRDefault="009A6D0D" w:rsidP="00CF4C4E">
            <w:pPr>
              <w:rPr>
                <w:sz w:val="20"/>
                <w:szCs w:val="20"/>
                <w:lang w:val="en-GB"/>
              </w:rPr>
            </w:pPr>
          </w:p>
        </w:tc>
        <w:tc>
          <w:tcPr>
            <w:tcW w:w="538" w:type="pct"/>
            <w:shd w:val="clear" w:color="auto" w:fill="auto"/>
          </w:tcPr>
          <w:p w:rsidR="009A6D0D" w:rsidRPr="00CF4C4E" w:rsidRDefault="009A6D0D" w:rsidP="00CF4C4E">
            <w:pPr>
              <w:rPr>
                <w:sz w:val="20"/>
                <w:szCs w:val="20"/>
                <w:lang w:val="en-GB"/>
              </w:rPr>
            </w:pPr>
          </w:p>
        </w:tc>
        <w:tc>
          <w:tcPr>
            <w:tcW w:w="763" w:type="pct"/>
            <w:shd w:val="clear" w:color="auto" w:fill="auto"/>
          </w:tcPr>
          <w:p w:rsidR="009A6D0D" w:rsidRPr="00CF4C4E" w:rsidRDefault="009A6D0D" w:rsidP="00CF4C4E">
            <w:pPr>
              <w:rPr>
                <w:sz w:val="20"/>
                <w:szCs w:val="20"/>
                <w:lang w:val="en-GB"/>
              </w:rPr>
            </w:pPr>
          </w:p>
        </w:tc>
      </w:tr>
      <w:tr w:rsidR="009A6D0D" w:rsidRPr="00CF4C4E" w:rsidTr="000553F1">
        <w:trPr>
          <w:trHeight w:val="140"/>
        </w:trPr>
        <w:tc>
          <w:tcPr>
            <w:tcW w:w="847" w:type="pct"/>
            <w:tcBorders>
              <w:left w:val="double" w:sz="4" w:space="0" w:color="auto"/>
            </w:tcBorders>
            <w:shd w:val="clear" w:color="auto" w:fill="auto"/>
          </w:tcPr>
          <w:p w:rsidR="009A6D0D" w:rsidRPr="00CF4C4E" w:rsidRDefault="00ED4F9F" w:rsidP="00CF4C4E">
            <w:pPr>
              <w:rPr>
                <w:sz w:val="20"/>
                <w:szCs w:val="20"/>
                <w:lang w:val="en-GB"/>
              </w:rPr>
            </w:pPr>
            <w:r w:rsidRPr="00CF4C4E">
              <w:rPr>
                <w:sz w:val="20"/>
                <w:szCs w:val="20"/>
                <w:lang w:val="en-GB"/>
              </w:rPr>
              <w:t>4.1.8. Deliver continuous training of competent authorities based on best practices in terrorist financing cases;</w:t>
            </w:r>
          </w:p>
        </w:tc>
        <w:tc>
          <w:tcPr>
            <w:tcW w:w="404" w:type="pct"/>
            <w:shd w:val="clear" w:color="auto" w:fill="auto"/>
          </w:tcPr>
          <w:p w:rsidR="009A6D0D" w:rsidRPr="00CF4C4E" w:rsidRDefault="009A6D0D" w:rsidP="00CF4C4E">
            <w:pPr>
              <w:rPr>
                <w:sz w:val="20"/>
                <w:szCs w:val="20"/>
                <w:lang w:val="en-GB"/>
              </w:rPr>
            </w:pPr>
            <w:r w:rsidRPr="00CF4C4E">
              <w:rPr>
                <w:sz w:val="20"/>
                <w:szCs w:val="20"/>
                <w:lang w:val="en-GB"/>
              </w:rPr>
              <w:t>AML/CFT CB</w:t>
            </w:r>
          </w:p>
        </w:tc>
        <w:tc>
          <w:tcPr>
            <w:tcW w:w="438" w:type="pct"/>
            <w:shd w:val="clear" w:color="auto" w:fill="auto"/>
          </w:tcPr>
          <w:p w:rsidR="009A6D0D" w:rsidRPr="00CF4C4E" w:rsidRDefault="00294720" w:rsidP="00CF4C4E">
            <w:pPr>
              <w:rPr>
                <w:sz w:val="20"/>
                <w:szCs w:val="20"/>
                <w:lang w:val="en-GB"/>
              </w:rPr>
            </w:pPr>
            <w:r w:rsidRPr="00CF4C4E">
              <w:rPr>
                <w:sz w:val="20"/>
                <w:szCs w:val="20"/>
                <w:lang w:val="en-GB"/>
              </w:rPr>
              <w:t>JA, MoI, SIA, APML</w:t>
            </w:r>
          </w:p>
        </w:tc>
        <w:tc>
          <w:tcPr>
            <w:tcW w:w="410" w:type="pct"/>
            <w:shd w:val="clear" w:color="auto" w:fill="auto"/>
          </w:tcPr>
          <w:p w:rsidR="009A6D0D" w:rsidRPr="00CF4C4E" w:rsidRDefault="009A6D0D" w:rsidP="00CF4C4E">
            <w:pPr>
              <w:rPr>
                <w:sz w:val="20"/>
                <w:szCs w:val="20"/>
                <w:lang w:val="en-GB"/>
              </w:rPr>
            </w:pPr>
            <w:r w:rsidRPr="00CF4C4E">
              <w:rPr>
                <w:sz w:val="20"/>
                <w:szCs w:val="20"/>
                <w:lang w:val="en-GB"/>
              </w:rPr>
              <w:t>IV quarter of 2022</w:t>
            </w:r>
          </w:p>
        </w:tc>
        <w:tc>
          <w:tcPr>
            <w:tcW w:w="555" w:type="pct"/>
            <w:shd w:val="clear" w:color="auto" w:fill="auto"/>
          </w:tcPr>
          <w:p w:rsidR="009A6D0D" w:rsidRPr="00CF4C4E" w:rsidRDefault="009A6D0D" w:rsidP="00CF4C4E">
            <w:pPr>
              <w:rPr>
                <w:sz w:val="20"/>
                <w:szCs w:val="20"/>
                <w:lang w:val="en-GB"/>
              </w:rPr>
            </w:pPr>
            <w:r w:rsidRPr="00CF4C4E">
              <w:rPr>
                <w:sz w:val="20"/>
                <w:szCs w:val="20"/>
                <w:lang w:val="en-GB"/>
              </w:rPr>
              <w:t xml:space="preserve">Financed as part of regular activities of staff/International donor funds </w:t>
            </w:r>
          </w:p>
        </w:tc>
        <w:tc>
          <w:tcPr>
            <w:tcW w:w="409" w:type="pct"/>
            <w:shd w:val="clear" w:color="auto" w:fill="auto"/>
          </w:tcPr>
          <w:p w:rsidR="009A6D0D" w:rsidRPr="00CF4C4E" w:rsidRDefault="009A6D0D" w:rsidP="00CF4C4E">
            <w:pPr>
              <w:rPr>
                <w:sz w:val="20"/>
                <w:szCs w:val="20"/>
                <w:lang w:val="en-GB"/>
              </w:rPr>
            </w:pPr>
          </w:p>
        </w:tc>
        <w:tc>
          <w:tcPr>
            <w:tcW w:w="636" w:type="pct"/>
            <w:shd w:val="clear" w:color="auto" w:fill="auto"/>
          </w:tcPr>
          <w:p w:rsidR="009A6D0D" w:rsidRPr="00CF4C4E" w:rsidRDefault="009A6D0D" w:rsidP="00CF4C4E">
            <w:pPr>
              <w:rPr>
                <w:sz w:val="20"/>
                <w:szCs w:val="20"/>
                <w:lang w:val="en-GB"/>
              </w:rPr>
            </w:pPr>
          </w:p>
        </w:tc>
        <w:tc>
          <w:tcPr>
            <w:tcW w:w="538" w:type="pct"/>
            <w:shd w:val="clear" w:color="auto" w:fill="auto"/>
          </w:tcPr>
          <w:p w:rsidR="009A6D0D" w:rsidRPr="00CF4C4E" w:rsidRDefault="009A6D0D" w:rsidP="00CF4C4E">
            <w:pPr>
              <w:rPr>
                <w:sz w:val="20"/>
                <w:szCs w:val="20"/>
                <w:lang w:val="en-GB"/>
              </w:rPr>
            </w:pPr>
          </w:p>
        </w:tc>
        <w:tc>
          <w:tcPr>
            <w:tcW w:w="763" w:type="pct"/>
            <w:shd w:val="clear" w:color="auto" w:fill="auto"/>
          </w:tcPr>
          <w:p w:rsidR="009A6D0D" w:rsidRPr="00CF4C4E" w:rsidRDefault="009A6D0D" w:rsidP="00CF4C4E">
            <w:pPr>
              <w:rPr>
                <w:sz w:val="20"/>
                <w:szCs w:val="20"/>
                <w:lang w:val="en-GB"/>
              </w:rPr>
            </w:pPr>
          </w:p>
        </w:tc>
      </w:tr>
    </w:tbl>
    <w:p w:rsidR="00FC4AE1" w:rsidRPr="00CF4C4E" w:rsidRDefault="00FC4AE1" w:rsidP="00CF4C4E">
      <w:pPr>
        <w:rPr>
          <w:sz w:val="20"/>
          <w:szCs w:val="20"/>
          <w:lang w:val="en-GB"/>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4"/>
        <w:gridCol w:w="1463"/>
        <w:gridCol w:w="1587"/>
        <w:gridCol w:w="965"/>
        <w:gridCol w:w="767"/>
        <w:gridCol w:w="1695"/>
        <w:gridCol w:w="1525"/>
        <w:gridCol w:w="1562"/>
        <w:gridCol w:w="1369"/>
      </w:tblGrid>
      <w:tr w:rsidR="00E81497" w:rsidRPr="00CF4C4E" w:rsidTr="00C11F8E">
        <w:trPr>
          <w:trHeight w:val="270"/>
        </w:trPr>
        <w:tc>
          <w:tcPr>
            <w:tcW w:w="5000" w:type="pct"/>
            <w:gridSpan w:val="9"/>
            <w:tcBorders>
              <w:top w:val="double" w:sz="4" w:space="0" w:color="auto"/>
              <w:left w:val="double" w:sz="4" w:space="0" w:color="auto"/>
              <w:right w:val="double" w:sz="4" w:space="0" w:color="auto"/>
            </w:tcBorders>
            <w:shd w:val="clear" w:color="auto" w:fill="F7CAAC"/>
            <w:vAlign w:val="center"/>
          </w:tcPr>
          <w:p w:rsidR="00E81497" w:rsidRPr="00CF4C4E" w:rsidRDefault="006301B6" w:rsidP="00CF4C4E">
            <w:pPr>
              <w:pStyle w:val="Heading3"/>
              <w:spacing w:before="0"/>
              <w:rPr>
                <w:rFonts w:cs="Times New Roman"/>
                <w:szCs w:val="20"/>
                <w:lang w:val="en-GB"/>
              </w:rPr>
            </w:pPr>
            <w:bookmarkStart w:id="16" w:name="_Toc32409920"/>
            <w:r w:rsidRPr="00CF4C4E">
              <w:rPr>
                <w:rFonts w:cs="Times New Roman"/>
                <w:szCs w:val="20"/>
                <w:lang w:val="en-GB"/>
              </w:rPr>
              <w:t>Measure 4.2:</w:t>
            </w:r>
            <w:r w:rsidRPr="00CF4C4E">
              <w:rPr>
                <w:rFonts w:cs="Times New Roman"/>
                <w:b w:val="0"/>
                <w:bCs w:val="0"/>
                <w:szCs w:val="20"/>
                <w:lang w:val="en-GB"/>
              </w:rPr>
              <w:t xml:space="preserve"> </w:t>
            </w:r>
            <w:r w:rsidRPr="00CF4C4E">
              <w:rPr>
                <w:rFonts w:cs="Times New Roman"/>
                <w:szCs w:val="20"/>
                <w:lang w:val="en-GB"/>
              </w:rPr>
              <w:t xml:space="preserve">Ensure efficiency of activities to monitor cross-border terrorist financing risks </w:t>
            </w:r>
            <w:bookmarkEnd w:id="16"/>
          </w:p>
        </w:tc>
      </w:tr>
      <w:tr w:rsidR="00E81497" w:rsidRPr="00CF4C4E" w:rsidTr="00C11F8E">
        <w:trPr>
          <w:trHeight w:val="382"/>
        </w:trPr>
        <w:tc>
          <w:tcPr>
            <w:tcW w:w="5000" w:type="pct"/>
            <w:gridSpan w:val="9"/>
            <w:tcBorders>
              <w:top w:val="double" w:sz="4" w:space="0" w:color="auto"/>
              <w:left w:val="double" w:sz="4" w:space="0" w:color="auto"/>
              <w:bottom w:val="double" w:sz="4" w:space="0" w:color="auto"/>
              <w:right w:val="double" w:sz="4" w:space="0" w:color="auto"/>
            </w:tcBorders>
            <w:shd w:val="clear" w:color="auto" w:fill="F7CAAC"/>
            <w:vAlign w:val="center"/>
          </w:tcPr>
          <w:p w:rsidR="00E81497" w:rsidRPr="00CF4C4E" w:rsidRDefault="00E81497" w:rsidP="00CF4C4E">
            <w:pPr>
              <w:rPr>
                <w:sz w:val="20"/>
                <w:szCs w:val="20"/>
                <w:lang w:val="en-GB"/>
              </w:rPr>
            </w:pPr>
            <w:r w:rsidRPr="00CF4C4E">
              <w:rPr>
                <w:sz w:val="20"/>
                <w:szCs w:val="20"/>
                <w:lang w:val="en-GB"/>
              </w:rPr>
              <w:t xml:space="preserve">Authority responsible for implementation (coordination of implementation) of the measure: </w:t>
            </w:r>
            <w:r w:rsidRPr="00CF4C4E">
              <w:rPr>
                <w:color w:val="222222"/>
                <w:sz w:val="20"/>
                <w:szCs w:val="20"/>
                <w:lang w:val="en-GB"/>
              </w:rPr>
              <w:t>Coordination Body for the Prevention of Money Laundering and the Financing of Terrorism (AML/CFT CB)</w:t>
            </w:r>
          </w:p>
        </w:tc>
      </w:tr>
      <w:tr w:rsidR="00E81497" w:rsidRPr="00CF4C4E" w:rsidTr="0003799E">
        <w:trPr>
          <w:trHeight w:val="346"/>
        </w:trPr>
        <w:tc>
          <w:tcPr>
            <w:tcW w:w="2555" w:type="pct"/>
            <w:gridSpan w:val="4"/>
            <w:tcBorders>
              <w:top w:val="double" w:sz="4" w:space="0" w:color="auto"/>
              <w:left w:val="double" w:sz="4" w:space="0" w:color="auto"/>
              <w:bottom w:val="double" w:sz="4" w:space="0" w:color="auto"/>
              <w:right w:val="double" w:sz="4" w:space="0" w:color="auto"/>
            </w:tcBorders>
            <w:shd w:val="clear" w:color="auto" w:fill="F7CAAC"/>
            <w:vAlign w:val="center"/>
          </w:tcPr>
          <w:p w:rsidR="00E81497" w:rsidRPr="00CF4C4E" w:rsidRDefault="00E81497" w:rsidP="00CF4C4E">
            <w:pPr>
              <w:rPr>
                <w:sz w:val="20"/>
                <w:szCs w:val="20"/>
                <w:lang w:val="en-GB"/>
              </w:rPr>
            </w:pPr>
            <w:r w:rsidRPr="00CF4C4E">
              <w:rPr>
                <w:sz w:val="20"/>
                <w:szCs w:val="20"/>
                <w:lang w:val="en-GB"/>
              </w:rPr>
              <w:t>Implementation period: 2020-2022</w:t>
            </w:r>
          </w:p>
        </w:tc>
        <w:tc>
          <w:tcPr>
            <w:tcW w:w="2445" w:type="pct"/>
            <w:gridSpan w:val="5"/>
            <w:tcBorders>
              <w:top w:val="double" w:sz="4" w:space="0" w:color="auto"/>
              <w:left w:val="double" w:sz="4" w:space="0" w:color="auto"/>
              <w:bottom w:val="double" w:sz="4" w:space="0" w:color="auto"/>
              <w:right w:val="double" w:sz="4" w:space="0" w:color="auto"/>
            </w:tcBorders>
            <w:shd w:val="clear" w:color="auto" w:fill="F7CAAC"/>
            <w:vAlign w:val="center"/>
          </w:tcPr>
          <w:p w:rsidR="00E81497" w:rsidRPr="00CF4C4E" w:rsidRDefault="00E81497" w:rsidP="00CF4C4E">
            <w:pPr>
              <w:rPr>
                <w:sz w:val="20"/>
                <w:szCs w:val="20"/>
                <w:lang w:val="en-GB"/>
              </w:rPr>
            </w:pPr>
            <w:r w:rsidRPr="00CF4C4E">
              <w:rPr>
                <w:sz w:val="20"/>
                <w:szCs w:val="20"/>
                <w:lang w:val="en-GB"/>
              </w:rPr>
              <w:t>Type of measure: Information and knowledge sharing</w:t>
            </w:r>
          </w:p>
        </w:tc>
      </w:tr>
      <w:tr w:rsidR="00F3347F" w:rsidRPr="00CF4C4E" w:rsidTr="00F3347F">
        <w:trPr>
          <w:trHeight w:val="595"/>
        </w:trPr>
        <w:tc>
          <w:tcPr>
            <w:tcW w:w="1136" w:type="pct"/>
            <w:tcBorders>
              <w:top w:val="double" w:sz="4" w:space="0" w:color="auto"/>
            </w:tcBorders>
            <w:shd w:val="clear" w:color="auto" w:fill="D9D9D9"/>
            <w:vAlign w:val="center"/>
          </w:tcPr>
          <w:p w:rsidR="00F3347F" w:rsidRPr="00CF4C4E" w:rsidRDefault="00F3347F" w:rsidP="00CF4C4E">
            <w:pPr>
              <w:rPr>
                <w:sz w:val="20"/>
                <w:szCs w:val="20"/>
                <w:lang w:val="en-GB"/>
              </w:rPr>
            </w:pPr>
            <w:r w:rsidRPr="00CF4C4E">
              <w:rPr>
                <w:sz w:val="20"/>
                <w:szCs w:val="20"/>
                <w:lang w:val="en-GB"/>
              </w:rPr>
              <w:t>Indicator(s) at the level of measure (result indicator):</w:t>
            </w:r>
          </w:p>
        </w:tc>
        <w:tc>
          <w:tcPr>
            <w:tcW w:w="517" w:type="pct"/>
            <w:tcBorders>
              <w:top w:val="double" w:sz="4" w:space="0" w:color="auto"/>
            </w:tcBorders>
            <w:shd w:val="clear" w:color="auto" w:fill="D9D9D9"/>
            <w:vAlign w:val="center"/>
          </w:tcPr>
          <w:p w:rsidR="00F3347F" w:rsidRPr="00CF4C4E" w:rsidRDefault="00F3347F" w:rsidP="00CF4C4E">
            <w:pPr>
              <w:rPr>
                <w:sz w:val="20"/>
                <w:szCs w:val="20"/>
                <w:lang w:val="en-GB"/>
              </w:rPr>
            </w:pPr>
            <w:r w:rsidRPr="00CF4C4E">
              <w:rPr>
                <w:sz w:val="20"/>
                <w:szCs w:val="20"/>
                <w:lang w:val="en-GB"/>
              </w:rPr>
              <w:t>Unit of measurement</w:t>
            </w:r>
          </w:p>
          <w:p w:rsidR="00F3347F" w:rsidRPr="00CF4C4E" w:rsidRDefault="00F3347F" w:rsidP="00CF4C4E">
            <w:pPr>
              <w:rPr>
                <w:sz w:val="20"/>
                <w:szCs w:val="20"/>
                <w:lang w:val="en-GB"/>
              </w:rPr>
            </w:pPr>
          </w:p>
        </w:tc>
        <w:tc>
          <w:tcPr>
            <w:tcW w:w="561" w:type="pct"/>
            <w:tcBorders>
              <w:top w:val="double" w:sz="4" w:space="0" w:color="auto"/>
            </w:tcBorders>
            <w:shd w:val="clear" w:color="auto" w:fill="D9D9D9"/>
            <w:vAlign w:val="center"/>
          </w:tcPr>
          <w:p w:rsidR="00F3347F" w:rsidRPr="00CF4C4E" w:rsidRDefault="00F3347F" w:rsidP="00CF4C4E">
            <w:pPr>
              <w:rPr>
                <w:sz w:val="20"/>
                <w:szCs w:val="20"/>
                <w:lang w:val="en-GB"/>
              </w:rPr>
            </w:pPr>
            <w:r w:rsidRPr="00CF4C4E">
              <w:rPr>
                <w:sz w:val="20"/>
                <w:szCs w:val="20"/>
                <w:lang w:val="en-GB"/>
              </w:rPr>
              <w:t>Source of verification</w:t>
            </w:r>
          </w:p>
        </w:tc>
        <w:tc>
          <w:tcPr>
            <w:tcW w:w="612" w:type="pct"/>
            <w:gridSpan w:val="2"/>
            <w:tcBorders>
              <w:top w:val="double" w:sz="4" w:space="0" w:color="auto"/>
            </w:tcBorders>
            <w:shd w:val="clear" w:color="auto" w:fill="D9D9D9"/>
            <w:vAlign w:val="center"/>
          </w:tcPr>
          <w:p w:rsidR="00F3347F" w:rsidRPr="00CF4C4E" w:rsidRDefault="00F3347F" w:rsidP="00CF4C4E">
            <w:pPr>
              <w:rPr>
                <w:sz w:val="20"/>
                <w:szCs w:val="20"/>
                <w:lang w:val="en-GB"/>
              </w:rPr>
            </w:pPr>
            <w:r w:rsidRPr="00CF4C4E">
              <w:rPr>
                <w:sz w:val="20"/>
                <w:szCs w:val="20"/>
                <w:lang w:val="en-GB"/>
              </w:rPr>
              <w:t xml:space="preserve">Base value </w:t>
            </w:r>
          </w:p>
        </w:tc>
        <w:tc>
          <w:tcPr>
            <w:tcW w:w="599" w:type="pct"/>
            <w:tcBorders>
              <w:top w:val="double" w:sz="4" w:space="0" w:color="auto"/>
            </w:tcBorders>
            <w:shd w:val="clear" w:color="auto" w:fill="D9D9D9"/>
            <w:vAlign w:val="center"/>
          </w:tcPr>
          <w:p w:rsidR="00F3347F" w:rsidRPr="00CF4C4E" w:rsidRDefault="00F3347F" w:rsidP="00CF4C4E">
            <w:pPr>
              <w:rPr>
                <w:sz w:val="20"/>
                <w:szCs w:val="20"/>
                <w:lang w:val="en-GB"/>
              </w:rPr>
            </w:pPr>
            <w:r w:rsidRPr="00CF4C4E">
              <w:rPr>
                <w:sz w:val="20"/>
                <w:szCs w:val="20"/>
                <w:lang w:val="en-GB"/>
              </w:rPr>
              <w:t>Base year</w:t>
            </w:r>
          </w:p>
        </w:tc>
        <w:tc>
          <w:tcPr>
            <w:tcW w:w="539" w:type="pct"/>
            <w:tcBorders>
              <w:top w:val="double" w:sz="4" w:space="0" w:color="auto"/>
            </w:tcBorders>
            <w:shd w:val="clear" w:color="auto" w:fill="D9D9D9"/>
          </w:tcPr>
          <w:p w:rsidR="00F3347F" w:rsidRPr="00CF4C4E" w:rsidRDefault="00F3347F" w:rsidP="00CF4C4E">
            <w:pPr>
              <w:rPr>
                <w:sz w:val="20"/>
                <w:szCs w:val="20"/>
                <w:lang w:val="en-GB"/>
              </w:rPr>
            </w:pPr>
            <w:r w:rsidRPr="00CF4C4E">
              <w:rPr>
                <w:sz w:val="20"/>
                <w:szCs w:val="20"/>
                <w:lang w:val="en-GB"/>
              </w:rPr>
              <w:t>Target value in 2020</w:t>
            </w:r>
          </w:p>
        </w:tc>
        <w:tc>
          <w:tcPr>
            <w:tcW w:w="552" w:type="pct"/>
            <w:tcBorders>
              <w:top w:val="double" w:sz="4" w:space="0" w:color="auto"/>
              <w:right w:val="double" w:sz="4" w:space="0" w:color="auto"/>
            </w:tcBorders>
            <w:shd w:val="clear" w:color="auto" w:fill="D9D9D9"/>
          </w:tcPr>
          <w:p w:rsidR="00F3347F" w:rsidRPr="00CF4C4E" w:rsidRDefault="00F3347F" w:rsidP="00CF4C4E">
            <w:pPr>
              <w:rPr>
                <w:sz w:val="20"/>
                <w:szCs w:val="20"/>
                <w:lang w:val="en-GB"/>
              </w:rPr>
            </w:pPr>
            <w:r w:rsidRPr="00CF4C4E">
              <w:rPr>
                <w:sz w:val="20"/>
                <w:szCs w:val="20"/>
                <w:lang w:val="en-GB"/>
              </w:rPr>
              <w:t>Target value in 2021</w:t>
            </w:r>
          </w:p>
        </w:tc>
        <w:tc>
          <w:tcPr>
            <w:tcW w:w="484" w:type="pct"/>
            <w:tcBorders>
              <w:top w:val="double" w:sz="4" w:space="0" w:color="auto"/>
              <w:right w:val="double" w:sz="4" w:space="0" w:color="auto"/>
            </w:tcBorders>
            <w:shd w:val="clear" w:color="auto" w:fill="D9D9D9"/>
          </w:tcPr>
          <w:p w:rsidR="00F3347F" w:rsidRPr="00CF4C4E" w:rsidRDefault="00885F9C" w:rsidP="00CF4C4E">
            <w:pPr>
              <w:rPr>
                <w:sz w:val="20"/>
                <w:szCs w:val="20"/>
                <w:lang w:val="en-GB"/>
              </w:rPr>
            </w:pPr>
            <w:r w:rsidRPr="00CF4C4E">
              <w:rPr>
                <w:sz w:val="20"/>
                <w:szCs w:val="20"/>
                <w:lang w:val="en-GB"/>
              </w:rPr>
              <w:t>Target value in 2022</w:t>
            </w:r>
          </w:p>
        </w:tc>
      </w:tr>
      <w:tr w:rsidR="00E81497" w:rsidRPr="00CF4C4E" w:rsidTr="00F3347F">
        <w:trPr>
          <w:trHeight w:val="381"/>
        </w:trPr>
        <w:tc>
          <w:tcPr>
            <w:tcW w:w="1136" w:type="pct"/>
            <w:tcBorders>
              <w:top w:val="double" w:sz="4" w:space="0" w:color="auto"/>
              <w:bottom w:val="double" w:sz="4" w:space="0" w:color="auto"/>
            </w:tcBorders>
            <w:shd w:val="clear" w:color="auto" w:fill="FFFFFF"/>
            <w:vAlign w:val="center"/>
          </w:tcPr>
          <w:p w:rsidR="00E81497" w:rsidRPr="00CF4C4E" w:rsidRDefault="00B56E7D" w:rsidP="00CF4C4E">
            <w:pPr>
              <w:shd w:val="clear" w:color="auto" w:fill="FFFFFF"/>
              <w:rPr>
                <w:sz w:val="20"/>
                <w:szCs w:val="20"/>
                <w:lang w:val="en-GB"/>
              </w:rPr>
            </w:pPr>
            <w:r w:rsidRPr="00CF4C4E">
              <w:rPr>
                <w:sz w:val="20"/>
                <w:szCs w:val="20"/>
                <w:lang w:val="en-GB"/>
              </w:rPr>
              <w:t>Continuity of training of customs officers and border police on identifying TF risks sustained</w:t>
            </w:r>
          </w:p>
        </w:tc>
        <w:tc>
          <w:tcPr>
            <w:tcW w:w="517" w:type="pct"/>
            <w:tcBorders>
              <w:top w:val="double" w:sz="4" w:space="0" w:color="auto"/>
              <w:bottom w:val="double" w:sz="4" w:space="0" w:color="auto"/>
            </w:tcBorders>
            <w:shd w:val="clear" w:color="auto" w:fill="FFFFFF"/>
            <w:vAlign w:val="center"/>
          </w:tcPr>
          <w:p w:rsidR="00E81497" w:rsidRPr="00CF4C4E" w:rsidRDefault="00D5399E" w:rsidP="00CF4C4E">
            <w:pPr>
              <w:shd w:val="clear" w:color="auto" w:fill="FFFFFF"/>
              <w:rPr>
                <w:sz w:val="20"/>
                <w:szCs w:val="20"/>
                <w:lang w:val="en-GB"/>
              </w:rPr>
            </w:pPr>
            <w:r w:rsidRPr="00CF4C4E">
              <w:rPr>
                <w:sz w:val="20"/>
                <w:szCs w:val="20"/>
                <w:lang w:val="en-GB"/>
              </w:rPr>
              <w:t>Yes/No</w:t>
            </w:r>
          </w:p>
        </w:tc>
        <w:tc>
          <w:tcPr>
            <w:tcW w:w="561" w:type="pct"/>
            <w:tcBorders>
              <w:top w:val="double" w:sz="4" w:space="0" w:color="auto"/>
              <w:bottom w:val="double" w:sz="4" w:space="0" w:color="auto"/>
            </w:tcBorders>
            <w:shd w:val="clear" w:color="auto" w:fill="FFFFFF"/>
            <w:vAlign w:val="center"/>
          </w:tcPr>
          <w:p w:rsidR="00E81497" w:rsidRPr="00CF4C4E" w:rsidRDefault="00E81497" w:rsidP="00CF4C4E">
            <w:pPr>
              <w:shd w:val="clear" w:color="auto" w:fill="FFFFFF"/>
              <w:rPr>
                <w:sz w:val="20"/>
                <w:szCs w:val="20"/>
                <w:lang w:val="en-GB"/>
              </w:rPr>
            </w:pPr>
            <w:r w:rsidRPr="00CF4C4E">
              <w:rPr>
                <w:sz w:val="20"/>
                <w:szCs w:val="20"/>
                <w:lang w:val="en-GB"/>
              </w:rPr>
              <w:t xml:space="preserve">Training reports; Work report </w:t>
            </w:r>
          </w:p>
        </w:tc>
        <w:tc>
          <w:tcPr>
            <w:tcW w:w="612" w:type="pct"/>
            <w:gridSpan w:val="2"/>
            <w:tcBorders>
              <w:top w:val="double" w:sz="4" w:space="0" w:color="auto"/>
              <w:bottom w:val="double" w:sz="4" w:space="0" w:color="auto"/>
            </w:tcBorders>
            <w:shd w:val="clear" w:color="auto" w:fill="FFFFFF"/>
            <w:vAlign w:val="center"/>
          </w:tcPr>
          <w:p w:rsidR="00E81497" w:rsidRPr="00CF4C4E" w:rsidRDefault="00D5399E" w:rsidP="00CF4C4E">
            <w:pPr>
              <w:shd w:val="clear" w:color="auto" w:fill="FFFFFF"/>
              <w:rPr>
                <w:sz w:val="20"/>
                <w:szCs w:val="20"/>
                <w:lang w:val="en-GB"/>
              </w:rPr>
            </w:pPr>
            <w:r w:rsidRPr="00CF4C4E">
              <w:rPr>
                <w:sz w:val="20"/>
                <w:szCs w:val="20"/>
                <w:lang w:val="en-GB"/>
              </w:rPr>
              <w:t>Yes.</w:t>
            </w:r>
          </w:p>
        </w:tc>
        <w:tc>
          <w:tcPr>
            <w:tcW w:w="599" w:type="pct"/>
            <w:tcBorders>
              <w:top w:val="double" w:sz="4" w:space="0" w:color="auto"/>
              <w:bottom w:val="double" w:sz="4" w:space="0" w:color="auto"/>
            </w:tcBorders>
            <w:shd w:val="clear" w:color="auto" w:fill="FFFFFF"/>
            <w:vAlign w:val="center"/>
          </w:tcPr>
          <w:p w:rsidR="00E81497" w:rsidRPr="00CF4C4E" w:rsidRDefault="007405F7" w:rsidP="00CF4C4E">
            <w:pPr>
              <w:shd w:val="clear" w:color="auto" w:fill="FFFFFF"/>
              <w:rPr>
                <w:sz w:val="20"/>
                <w:szCs w:val="20"/>
                <w:lang w:val="en-GB"/>
              </w:rPr>
            </w:pPr>
            <w:r w:rsidRPr="00CF4C4E">
              <w:rPr>
                <w:sz w:val="20"/>
                <w:szCs w:val="20"/>
                <w:lang w:val="en-GB"/>
              </w:rPr>
              <w:t>2019</w:t>
            </w:r>
          </w:p>
        </w:tc>
        <w:tc>
          <w:tcPr>
            <w:tcW w:w="539" w:type="pct"/>
            <w:tcBorders>
              <w:top w:val="double" w:sz="4" w:space="0" w:color="auto"/>
              <w:bottom w:val="double" w:sz="4" w:space="0" w:color="auto"/>
            </w:tcBorders>
            <w:shd w:val="clear" w:color="auto" w:fill="FFFFFF"/>
            <w:vAlign w:val="center"/>
          </w:tcPr>
          <w:p w:rsidR="00E81497" w:rsidRPr="00CF4C4E" w:rsidRDefault="00D5399E" w:rsidP="00CF4C4E">
            <w:pPr>
              <w:shd w:val="clear" w:color="auto" w:fill="FFFFFF"/>
              <w:rPr>
                <w:sz w:val="20"/>
                <w:szCs w:val="20"/>
                <w:lang w:val="en-GB"/>
              </w:rPr>
            </w:pPr>
            <w:r w:rsidRPr="00CF4C4E">
              <w:rPr>
                <w:sz w:val="20"/>
                <w:szCs w:val="20"/>
                <w:lang w:val="en-GB"/>
              </w:rPr>
              <w:t>Yes.</w:t>
            </w:r>
          </w:p>
        </w:tc>
        <w:tc>
          <w:tcPr>
            <w:tcW w:w="552" w:type="pct"/>
            <w:tcBorders>
              <w:top w:val="double" w:sz="4" w:space="0" w:color="auto"/>
              <w:bottom w:val="double" w:sz="4" w:space="0" w:color="auto"/>
              <w:right w:val="double" w:sz="4" w:space="0" w:color="auto"/>
            </w:tcBorders>
            <w:shd w:val="clear" w:color="auto" w:fill="FFFFFF"/>
            <w:vAlign w:val="center"/>
          </w:tcPr>
          <w:p w:rsidR="00E81497" w:rsidRPr="00CF4C4E" w:rsidRDefault="00D5399E" w:rsidP="00CF4C4E">
            <w:pPr>
              <w:shd w:val="clear" w:color="auto" w:fill="FFFFFF"/>
              <w:rPr>
                <w:sz w:val="20"/>
                <w:szCs w:val="20"/>
                <w:lang w:val="en-GB"/>
              </w:rPr>
            </w:pPr>
            <w:r w:rsidRPr="00CF4C4E">
              <w:rPr>
                <w:sz w:val="20"/>
                <w:szCs w:val="20"/>
                <w:lang w:val="en-GB"/>
              </w:rPr>
              <w:t>Yes.</w:t>
            </w:r>
          </w:p>
        </w:tc>
        <w:tc>
          <w:tcPr>
            <w:tcW w:w="484" w:type="pct"/>
            <w:tcBorders>
              <w:top w:val="double" w:sz="4" w:space="0" w:color="auto"/>
              <w:bottom w:val="double" w:sz="4" w:space="0" w:color="auto"/>
              <w:right w:val="double" w:sz="4" w:space="0" w:color="auto"/>
            </w:tcBorders>
            <w:shd w:val="clear" w:color="auto" w:fill="FFFFFF"/>
            <w:vAlign w:val="center"/>
          </w:tcPr>
          <w:p w:rsidR="00E81497" w:rsidRPr="00CF4C4E" w:rsidRDefault="00D5399E" w:rsidP="00CF4C4E">
            <w:pPr>
              <w:shd w:val="clear" w:color="auto" w:fill="FFFFFF"/>
              <w:rPr>
                <w:sz w:val="20"/>
                <w:szCs w:val="20"/>
                <w:lang w:val="en-GB"/>
              </w:rPr>
            </w:pPr>
            <w:r w:rsidRPr="00CF4C4E">
              <w:rPr>
                <w:sz w:val="20"/>
                <w:szCs w:val="20"/>
                <w:lang w:val="en-GB"/>
              </w:rPr>
              <w:t>Yes.</w:t>
            </w:r>
          </w:p>
        </w:tc>
      </w:tr>
      <w:tr w:rsidR="00E81497" w:rsidRPr="00CF4C4E" w:rsidTr="00F3347F">
        <w:trPr>
          <w:trHeight w:val="595"/>
        </w:trPr>
        <w:tc>
          <w:tcPr>
            <w:tcW w:w="1136" w:type="pct"/>
            <w:tcBorders>
              <w:top w:val="double" w:sz="4" w:space="0" w:color="auto"/>
              <w:bottom w:val="double" w:sz="4" w:space="0" w:color="auto"/>
            </w:tcBorders>
            <w:shd w:val="clear" w:color="auto" w:fill="FFFFFF"/>
            <w:vAlign w:val="center"/>
          </w:tcPr>
          <w:p w:rsidR="00E81497" w:rsidRPr="00CF4C4E" w:rsidRDefault="00B56E7D" w:rsidP="00CF4C4E">
            <w:pPr>
              <w:shd w:val="clear" w:color="auto" w:fill="FFFFFF"/>
              <w:rPr>
                <w:sz w:val="20"/>
                <w:szCs w:val="20"/>
                <w:lang w:val="en-GB"/>
              </w:rPr>
            </w:pPr>
            <w:r w:rsidRPr="00CF4C4E">
              <w:rPr>
                <w:sz w:val="20"/>
                <w:szCs w:val="20"/>
                <w:lang w:val="en-GB"/>
              </w:rPr>
              <w:lastRenderedPageBreak/>
              <w:t>Analysis of alternative funds transfers and use of modern technologies conducted</w:t>
            </w:r>
          </w:p>
        </w:tc>
        <w:tc>
          <w:tcPr>
            <w:tcW w:w="517" w:type="pct"/>
            <w:tcBorders>
              <w:top w:val="double" w:sz="4" w:space="0" w:color="auto"/>
              <w:bottom w:val="double" w:sz="4" w:space="0" w:color="auto"/>
            </w:tcBorders>
            <w:shd w:val="clear" w:color="auto" w:fill="FFFFFF"/>
            <w:vAlign w:val="center"/>
          </w:tcPr>
          <w:p w:rsidR="00E81497" w:rsidRPr="00CF4C4E" w:rsidRDefault="0003799E" w:rsidP="00CF4C4E">
            <w:pPr>
              <w:shd w:val="clear" w:color="auto" w:fill="FFFFFF"/>
              <w:rPr>
                <w:sz w:val="20"/>
                <w:szCs w:val="20"/>
                <w:lang w:val="en-GB"/>
              </w:rPr>
            </w:pPr>
            <w:r w:rsidRPr="00CF4C4E">
              <w:rPr>
                <w:sz w:val="20"/>
                <w:szCs w:val="20"/>
                <w:lang w:val="en-GB"/>
              </w:rPr>
              <w:t>Yes/No</w:t>
            </w:r>
          </w:p>
        </w:tc>
        <w:tc>
          <w:tcPr>
            <w:tcW w:w="561" w:type="pct"/>
            <w:tcBorders>
              <w:top w:val="double" w:sz="4" w:space="0" w:color="auto"/>
              <w:bottom w:val="double" w:sz="4" w:space="0" w:color="auto"/>
            </w:tcBorders>
            <w:shd w:val="clear" w:color="auto" w:fill="FFFFFF"/>
            <w:vAlign w:val="center"/>
          </w:tcPr>
          <w:p w:rsidR="00E81497" w:rsidRPr="00CF4C4E" w:rsidRDefault="00E81497" w:rsidP="00CF4C4E">
            <w:pPr>
              <w:shd w:val="clear" w:color="auto" w:fill="FFFFFF"/>
              <w:rPr>
                <w:sz w:val="20"/>
                <w:szCs w:val="20"/>
                <w:lang w:val="en-GB"/>
              </w:rPr>
            </w:pPr>
            <w:r w:rsidRPr="00CF4C4E">
              <w:rPr>
                <w:sz w:val="20"/>
                <w:szCs w:val="20"/>
                <w:lang w:val="en-GB"/>
              </w:rPr>
              <w:t>Analysis</w:t>
            </w:r>
          </w:p>
        </w:tc>
        <w:tc>
          <w:tcPr>
            <w:tcW w:w="612" w:type="pct"/>
            <w:gridSpan w:val="2"/>
            <w:tcBorders>
              <w:top w:val="double" w:sz="4" w:space="0" w:color="auto"/>
              <w:bottom w:val="double" w:sz="4" w:space="0" w:color="auto"/>
            </w:tcBorders>
            <w:shd w:val="clear" w:color="auto" w:fill="FFFFFF"/>
            <w:vAlign w:val="center"/>
          </w:tcPr>
          <w:p w:rsidR="00E81497" w:rsidRPr="00CF4C4E" w:rsidRDefault="00B56E7D" w:rsidP="00CF4C4E">
            <w:pPr>
              <w:shd w:val="clear" w:color="auto" w:fill="FFFFFF"/>
              <w:rPr>
                <w:sz w:val="20"/>
                <w:szCs w:val="20"/>
                <w:lang w:val="en-GB"/>
              </w:rPr>
            </w:pPr>
            <w:r w:rsidRPr="00CF4C4E">
              <w:rPr>
                <w:sz w:val="20"/>
                <w:szCs w:val="20"/>
                <w:lang w:val="en-GB"/>
              </w:rPr>
              <w:t>No</w:t>
            </w:r>
          </w:p>
        </w:tc>
        <w:tc>
          <w:tcPr>
            <w:tcW w:w="599" w:type="pct"/>
            <w:tcBorders>
              <w:top w:val="double" w:sz="4" w:space="0" w:color="auto"/>
              <w:bottom w:val="double" w:sz="4" w:space="0" w:color="auto"/>
            </w:tcBorders>
            <w:shd w:val="clear" w:color="auto" w:fill="FFFFFF"/>
            <w:vAlign w:val="center"/>
          </w:tcPr>
          <w:p w:rsidR="00E81497" w:rsidRPr="00CF4C4E" w:rsidRDefault="0003799E" w:rsidP="00CF4C4E">
            <w:pPr>
              <w:shd w:val="clear" w:color="auto" w:fill="FFFFFF"/>
              <w:rPr>
                <w:sz w:val="20"/>
                <w:szCs w:val="20"/>
                <w:lang w:val="en-GB"/>
              </w:rPr>
            </w:pPr>
            <w:r w:rsidRPr="00CF4C4E">
              <w:rPr>
                <w:sz w:val="20"/>
                <w:szCs w:val="20"/>
                <w:lang w:val="en-GB"/>
              </w:rPr>
              <w:t>2019</w:t>
            </w:r>
          </w:p>
        </w:tc>
        <w:tc>
          <w:tcPr>
            <w:tcW w:w="539" w:type="pct"/>
            <w:tcBorders>
              <w:top w:val="double" w:sz="4" w:space="0" w:color="auto"/>
              <w:bottom w:val="double" w:sz="4" w:space="0" w:color="auto"/>
            </w:tcBorders>
            <w:shd w:val="clear" w:color="auto" w:fill="FFFFFF"/>
            <w:vAlign w:val="center"/>
          </w:tcPr>
          <w:p w:rsidR="00E81497" w:rsidRPr="00CF4C4E" w:rsidRDefault="00B56E7D" w:rsidP="00CF4C4E">
            <w:pPr>
              <w:shd w:val="clear" w:color="auto" w:fill="FFFFFF"/>
              <w:rPr>
                <w:sz w:val="20"/>
                <w:szCs w:val="20"/>
                <w:lang w:val="en-GB"/>
              </w:rPr>
            </w:pPr>
            <w:r w:rsidRPr="00CF4C4E">
              <w:rPr>
                <w:sz w:val="20"/>
                <w:szCs w:val="20"/>
                <w:lang w:val="en-GB"/>
              </w:rPr>
              <w:t>No</w:t>
            </w:r>
          </w:p>
        </w:tc>
        <w:tc>
          <w:tcPr>
            <w:tcW w:w="552" w:type="pct"/>
            <w:tcBorders>
              <w:top w:val="double" w:sz="4" w:space="0" w:color="auto"/>
              <w:bottom w:val="double" w:sz="4" w:space="0" w:color="auto"/>
              <w:right w:val="double" w:sz="4" w:space="0" w:color="auto"/>
            </w:tcBorders>
            <w:shd w:val="clear" w:color="auto" w:fill="FFFFFF"/>
            <w:vAlign w:val="center"/>
          </w:tcPr>
          <w:p w:rsidR="00E81497" w:rsidRPr="00CF4C4E" w:rsidRDefault="00B56E7D" w:rsidP="00CF4C4E">
            <w:pPr>
              <w:shd w:val="clear" w:color="auto" w:fill="FFFFFF"/>
              <w:rPr>
                <w:sz w:val="20"/>
                <w:szCs w:val="20"/>
                <w:lang w:val="en-GB"/>
              </w:rPr>
            </w:pPr>
            <w:r w:rsidRPr="00CF4C4E">
              <w:rPr>
                <w:sz w:val="20"/>
                <w:szCs w:val="20"/>
                <w:lang w:val="en-GB"/>
              </w:rPr>
              <w:t>Yes.</w:t>
            </w:r>
          </w:p>
        </w:tc>
        <w:tc>
          <w:tcPr>
            <w:tcW w:w="484" w:type="pct"/>
            <w:tcBorders>
              <w:top w:val="double" w:sz="4" w:space="0" w:color="auto"/>
              <w:bottom w:val="double" w:sz="4" w:space="0" w:color="auto"/>
              <w:right w:val="double" w:sz="4" w:space="0" w:color="auto"/>
            </w:tcBorders>
            <w:shd w:val="clear" w:color="auto" w:fill="FFFFFF"/>
            <w:vAlign w:val="center"/>
          </w:tcPr>
          <w:p w:rsidR="00E81497" w:rsidRPr="00CF4C4E" w:rsidRDefault="00E81497" w:rsidP="00CF4C4E">
            <w:pPr>
              <w:shd w:val="clear" w:color="auto" w:fill="FFFFFF"/>
              <w:rPr>
                <w:sz w:val="20"/>
                <w:szCs w:val="20"/>
                <w:lang w:val="en-GB"/>
              </w:rPr>
            </w:pPr>
          </w:p>
        </w:tc>
      </w:tr>
    </w:tbl>
    <w:p w:rsidR="00FC4AE1" w:rsidRPr="00CF4C4E" w:rsidRDefault="00FC4AE1" w:rsidP="00CF4C4E">
      <w:pPr>
        <w:rPr>
          <w:sz w:val="20"/>
          <w:szCs w:val="20"/>
          <w:lang w:val="en-GB"/>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3"/>
        <w:gridCol w:w="1268"/>
        <w:gridCol w:w="1372"/>
        <w:gridCol w:w="1285"/>
        <w:gridCol w:w="1740"/>
        <w:gridCol w:w="1282"/>
        <w:gridCol w:w="1556"/>
        <w:gridCol w:w="1466"/>
        <w:gridCol w:w="1525"/>
      </w:tblGrid>
      <w:tr w:rsidR="00E81497" w:rsidRPr="00CF4C4E" w:rsidTr="00C11F8E">
        <w:trPr>
          <w:trHeight w:val="140"/>
        </w:trPr>
        <w:tc>
          <w:tcPr>
            <w:tcW w:w="938" w:type="pct"/>
            <w:vMerge w:val="restart"/>
            <w:tcBorders>
              <w:top w:val="double" w:sz="4" w:space="0" w:color="auto"/>
              <w:left w:val="double" w:sz="4" w:space="0" w:color="auto"/>
            </w:tcBorders>
            <w:shd w:val="clear" w:color="auto" w:fill="E5DFEC" w:themeFill="accent4" w:themeFillTint="33"/>
          </w:tcPr>
          <w:p w:rsidR="00E81497" w:rsidRPr="00CF4C4E" w:rsidRDefault="00E81497" w:rsidP="00CF4C4E">
            <w:pPr>
              <w:rPr>
                <w:b/>
                <w:sz w:val="20"/>
                <w:szCs w:val="20"/>
                <w:lang w:val="en-GB"/>
              </w:rPr>
            </w:pPr>
            <w:r w:rsidRPr="00CF4C4E">
              <w:rPr>
                <w:b/>
                <w:bCs/>
                <w:sz w:val="20"/>
                <w:szCs w:val="20"/>
                <w:lang w:val="en-GB"/>
              </w:rPr>
              <w:t>Activity title:</w:t>
            </w:r>
          </w:p>
        </w:tc>
        <w:tc>
          <w:tcPr>
            <w:tcW w:w="448" w:type="pct"/>
            <w:vMerge w:val="restart"/>
            <w:tcBorders>
              <w:top w:val="double" w:sz="4" w:space="0" w:color="auto"/>
            </w:tcBorders>
            <w:shd w:val="clear" w:color="auto" w:fill="E5DFEC" w:themeFill="accent4" w:themeFillTint="33"/>
          </w:tcPr>
          <w:p w:rsidR="00E81497" w:rsidRPr="00CF4C4E" w:rsidRDefault="00E81497" w:rsidP="00CF4C4E">
            <w:pPr>
              <w:rPr>
                <w:b/>
                <w:sz w:val="20"/>
                <w:szCs w:val="20"/>
                <w:lang w:val="en-GB"/>
              </w:rPr>
            </w:pPr>
            <w:r w:rsidRPr="00CF4C4E">
              <w:rPr>
                <w:b/>
                <w:bCs/>
                <w:sz w:val="20"/>
                <w:szCs w:val="20"/>
                <w:lang w:val="en-GB"/>
              </w:rPr>
              <w:t>Authority implementing the activity</w:t>
            </w:r>
          </w:p>
        </w:tc>
        <w:tc>
          <w:tcPr>
            <w:tcW w:w="485" w:type="pct"/>
            <w:vMerge w:val="restart"/>
            <w:tcBorders>
              <w:top w:val="double" w:sz="4" w:space="0" w:color="auto"/>
            </w:tcBorders>
            <w:shd w:val="clear" w:color="auto" w:fill="E5DFEC" w:themeFill="accent4" w:themeFillTint="33"/>
          </w:tcPr>
          <w:p w:rsidR="00E81497" w:rsidRPr="00CF4C4E" w:rsidRDefault="00E81497" w:rsidP="00CF4C4E">
            <w:pPr>
              <w:rPr>
                <w:b/>
                <w:sz w:val="20"/>
                <w:szCs w:val="20"/>
                <w:lang w:val="en-GB"/>
              </w:rPr>
            </w:pPr>
            <w:r w:rsidRPr="00CF4C4E">
              <w:rPr>
                <w:b/>
                <w:bCs/>
                <w:sz w:val="20"/>
                <w:szCs w:val="20"/>
                <w:lang w:val="en-GB"/>
              </w:rPr>
              <w:t>Partners in the implementation of the activity</w:t>
            </w:r>
          </w:p>
        </w:tc>
        <w:tc>
          <w:tcPr>
            <w:tcW w:w="454" w:type="pct"/>
            <w:vMerge w:val="restart"/>
            <w:tcBorders>
              <w:top w:val="double" w:sz="4" w:space="0" w:color="auto"/>
            </w:tcBorders>
            <w:shd w:val="clear" w:color="auto" w:fill="E5DFEC" w:themeFill="accent4" w:themeFillTint="33"/>
          </w:tcPr>
          <w:p w:rsidR="00E81497" w:rsidRPr="00CF4C4E" w:rsidRDefault="00E81497" w:rsidP="00CF4C4E">
            <w:pPr>
              <w:rPr>
                <w:b/>
                <w:sz w:val="20"/>
                <w:szCs w:val="20"/>
                <w:lang w:val="en-GB"/>
              </w:rPr>
            </w:pPr>
            <w:r w:rsidRPr="00CF4C4E">
              <w:rPr>
                <w:b/>
                <w:bCs/>
                <w:sz w:val="20"/>
                <w:szCs w:val="20"/>
                <w:lang w:val="en-GB"/>
              </w:rPr>
              <w:t>Deadline for completion of activity</w:t>
            </w:r>
          </w:p>
        </w:tc>
        <w:tc>
          <w:tcPr>
            <w:tcW w:w="615" w:type="pct"/>
            <w:vMerge w:val="restart"/>
            <w:tcBorders>
              <w:top w:val="double" w:sz="4" w:space="0" w:color="auto"/>
            </w:tcBorders>
            <w:shd w:val="clear" w:color="auto" w:fill="E5DFEC" w:themeFill="accent4" w:themeFillTint="33"/>
          </w:tcPr>
          <w:p w:rsidR="00E81497" w:rsidRPr="00CF4C4E" w:rsidRDefault="00E81497" w:rsidP="00CF4C4E">
            <w:pPr>
              <w:rPr>
                <w:b/>
                <w:sz w:val="20"/>
                <w:szCs w:val="20"/>
                <w:lang w:val="en-GB"/>
              </w:rPr>
            </w:pPr>
            <w:r w:rsidRPr="00CF4C4E">
              <w:rPr>
                <w:b/>
                <w:bCs/>
                <w:sz w:val="20"/>
                <w:szCs w:val="20"/>
                <w:lang w:val="en-GB"/>
              </w:rPr>
              <w:t>Source of financing</w:t>
            </w:r>
          </w:p>
        </w:tc>
        <w:tc>
          <w:tcPr>
            <w:tcW w:w="453" w:type="pct"/>
            <w:vMerge w:val="restart"/>
            <w:tcBorders>
              <w:top w:val="double" w:sz="4" w:space="0" w:color="auto"/>
            </w:tcBorders>
            <w:shd w:val="clear" w:color="auto" w:fill="E5DFEC" w:themeFill="accent4" w:themeFillTint="33"/>
          </w:tcPr>
          <w:p w:rsidR="00E81497" w:rsidRPr="00CF4C4E" w:rsidRDefault="00E81497" w:rsidP="00CF4C4E">
            <w:pPr>
              <w:rPr>
                <w:b/>
                <w:sz w:val="20"/>
                <w:szCs w:val="20"/>
                <w:lang w:val="en-GB"/>
              </w:rPr>
            </w:pPr>
            <w:r w:rsidRPr="00CF4C4E">
              <w:rPr>
                <w:b/>
                <w:bCs/>
                <w:sz w:val="20"/>
                <w:szCs w:val="20"/>
                <w:lang w:val="en-GB"/>
              </w:rPr>
              <w:t>Link to programme budget</w:t>
            </w:r>
          </w:p>
          <w:p w:rsidR="00E81497" w:rsidRPr="00CF4C4E" w:rsidRDefault="00E81497" w:rsidP="00CF4C4E">
            <w:pPr>
              <w:rPr>
                <w:b/>
                <w:sz w:val="20"/>
                <w:szCs w:val="20"/>
                <w:lang w:val="en-GB"/>
              </w:rPr>
            </w:pPr>
          </w:p>
        </w:tc>
        <w:tc>
          <w:tcPr>
            <w:tcW w:w="1607" w:type="pct"/>
            <w:gridSpan w:val="3"/>
            <w:tcBorders>
              <w:top w:val="double" w:sz="4" w:space="0" w:color="auto"/>
            </w:tcBorders>
            <w:shd w:val="clear" w:color="auto" w:fill="E5DFEC" w:themeFill="accent4" w:themeFillTint="33"/>
          </w:tcPr>
          <w:p w:rsidR="00E81497" w:rsidRPr="00CF4C4E" w:rsidRDefault="00E81497" w:rsidP="00CF4C4E">
            <w:pPr>
              <w:rPr>
                <w:b/>
                <w:sz w:val="20"/>
                <w:szCs w:val="20"/>
                <w:lang w:val="en-GB"/>
              </w:rPr>
            </w:pPr>
            <w:r w:rsidRPr="00CF4C4E">
              <w:rPr>
                <w:b/>
                <w:bCs/>
                <w:sz w:val="20"/>
                <w:szCs w:val="20"/>
                <w:lang w:val="en-GB"/>
              </w:rPr>
              <w:t>Total assessed financial resources by source in RSD 000</w:t>
            </w:r>
          </w:p>
        </w:tc>
      </w:tr>
      <w:tr w:rsidR="00876914" w:rsidRPr="00CF4C4E" w:rsidTr="00C11F8E">
        <w:trPr>
          <w:trHeight w:val="386"/>
        </w:trPr>
        <w:tc>
          <w:tcPr>
            <w:tcW w:w="938" w:type="pct"/>
            <w:vMerge/>
            <w:tcBorders>
              <w:left w:val="double" w:sz="4" w:space="0" w:color="auto"/>
            </w:tcBorders>
            <w:shd w:val="clear" w:color="auto" w:fill="FFF2CC"/>
          </w:tcPr>
          <w:p w:rsidR="00876914" w:rsidRPr="00CF4C4E" w:rsidRDefault="00876914" w:rsidP="00CF4C4E">
            <w:pPr>
              <w:rPr>
                <w:sz w:val="20"/>
                <w:szCs w:val="20"/>
                <w:lang w:val="en-GB"/>
              </w:rPr>
            </w:pPr>
          </w:p>
        </w:tc>
        <w:tc>
          <w:tcPr>
            <w:tcW w:w="448" w:type="pct"/>
            <w:vMerge/>
            <w:shd w:val="clear" w:color="auto" w:fill="FFF2CC"/>
          </w:tcPr>
          <w:p w:rsidR="00876914" w:rsidRPr="00CF4C4E" w:rsidRDefault="00876914" w:rsidP="00CF4C4E">
            <w:pPr>
              <w:rPr>
                <w:sz w:val="20"/>
                <w:szCs w:val="20"/>
                <w:lang w:val="en-GB"/>
              </w:rPr>
            </w:pPr>
          </w:p>
        </w:tc>
        <w:tc>
          <w:tcPr>
            <w:tcW w:w="485" w:type="pct"/>
            <w:vMerge/>
            <w:shd w:val="clear" w:color="auto" w:fill="FFF2CC"/>
          </w:tcPr>
          <w:p w:rsidR="00876914" w:rsidRPr="00CF4C4E" w:rsidRDefault="00876914" w:rsidP="00CF4C4E">
            <w:pPr>
              <w:rPr>
                <w:sz w:val="20"/>
                <w:szCs w:val="20"/>
                <w:lang w:val="en-GB"/>
              </w:rPr>
            </w:pPr>
          </w:p>
        </w:tc>
        <w:tc>
          <w:tcPr>
            <w:tcW w:w="454" w:type="pct"/>
            <w:vMerge/>
            <w:shd w:val="clear" w:color="auto" w:fill="FFF2CC"/>
          </w:tcPr>
          <w:p w:rsidR="00876914" w:rsidRPr="00CF4C4E" w:rsidRDefault="00876914" w:rsidP="00CF4C4E">
            <w:pPr>
              <w:rPr>
                <w:sz w:val="20"/>
                <w:szCs w:val="20"/>
                <w:lang w:val="en-GB"/>
              </w:rPr>
            </w:pPr>
          </w:p>
        </w:tc>
        <w:tc>
          <w:tcPr>
            <w:tcW w:w="615" w:type="pct"/>
            <w:vMerge/>
            <w:shd w:val="clear" w:color="auto" w:fill="FFF2CC"/>
          </w:tcPr>
          <w:p w:rsidR="00876914" w:rsidRPr="00CF4C4E" w:rsidRDefault="00876914" w:rsidP="00CF4C4E">
            <w:pPr>
              <w:rPr>
                <w:sz w:val="20"/>
                <w:szCs w:val="20"/>
                <w:lang w:val="en-GB"/>
              </w:rPr>
            </w:pPr>
          </w:p>
        </w:tc>
        <w:tc>
          <w:tcPr>
            <w:tcW w:w="453" w:type="pct"/>
            <w:vMerge/>
            <w:shd w:val="clear" w:color="auto" w:fill="FFF2CC"/>
          </w:tcPr>
          <w:p w:rsidR="00876914" w:rsidRPr="00CF4C4E" w:rsidRDefault="00876914" w:rsidP="00CF4C4E">
            <w:pPr>
              <w:rPr>
                <w:sz w:val="20"/>
                <w:szCs w:val="20"/>
                <w:lang w:val="en-GB"/>
              </w:rPr>
            </w:pPr>
          </w:p>
        </w:tc>
        <w:tc>
          <w:tcPr>
            <w:tcW w:w="550" w:type="pct"/>
            <w:shd w:val="clear" w:color="auto" w:fill="E5DFEC" w:themeFill="accent4" w:themeFillTint="33"/>
          </w:tcPr>
          <w:p w:rsidR="00876914" w:rsidRPr="00CF4C4E" w:rsidRDefault="00876914" w:rsidP="00CF4C4E">
            <w:pPr>
              <w:jc w:val="center"/>
              <w:rPr>
                <w:b/>
                <w:sz w:val="20"/>
                <w:szCs w:val="20"/>
                <w:lang w:val="en-GB"/>
              </w:rPr>
            </w:pPr>
            <w:r w:rsidRPr="00CF4C4E">
              <w:rPr>
                <w:b/>
                <w:bCs/>
                <w:sz w:val="20"/>
                <w:szCs w:val="20"/>
                <w:lang w:val="en-GB"/>
              </w:rPr>
              <w:t>2020</w:t>
            </w:r>
          </w:p>
        </w:tc>
        <w:tc>
          <w:tcPr>
            <w:tcW w:w="518" w:type="pct"/>
            <w:shd w:val="clear" w:color="auto" w:fill="E5DFEC" w:themeFill="accent4" w:themeFillTint="33"/>
          </w:tcPr>
          <w:p w:rsidR="00876914" w:rsidRPr="00CF4C4E" w:rsidRDefault="00876914" w:rsidP="00CF4C4E">
            <w:pPr>
              <w:jc w:val="center"/>
              <w:rPr>
                <w:b/>
                <w:sz w:val="20"/>
                <w:szCs w:val="20"/>
                <w:lang w:val="en-GB"/>
              </w:rPr>
            </w:pPr>
            <w:r w:rsidRPr="00CF4C4E">
              <w:rPr>
                <w:b/>
                <w:bCs/>
                <w:sz w:val="20"/>
                <w:szCs w:val="20"/>
                <w:lang w:val="en-GB"/>
              </w:rPr>
              <w:t>2021</w:t>
            </w:r>
          </w:p>
        </w:tc>
        <w:tc>
          <w:tcPr>
            <w:tcW w:w="539" w:type="pct"/>
            <w:shd w:val="clear" w:color="auto" w:fill="E5DFEC" w:themeFill="accent4" w:themeFillTint="33"/>
          </w:tcPr>
          <w:p w:rsidR="00876914" w:rsidRPr="00CF4C4E" w:rsidRDefault="00876914" w:rsidP="00CF4C4E">
            <w:pPr>
              <w:jc w:val="center"/>
              <w:rPr>
                <w:b/>
                <w:sz w:val="20"/>
                <w:szCs w:val="20"/>
                <w:lang w:val="en-GB"/>
              </w:rPr>
            </w:pPr>
            <w:r w:rsidRPr="00CF4C4E">
              <w:rPr>
                <w:b/>
                <w:bCs/>
                <w:sz w:val="20"/>
                <w:szCs w:val="20"/>
                <w:lang w:val="en-GB"/>
              </w:rPr>
              <w:t>2022</w:t>
            </w:r>
          </w:p>
        </w:tc>
      </w:tr>
      <w:tr w:rsidR="009A6D0D" w:rsidRPr="00CF4C4E" w:rsidTr="006E272C">
        <w:trPr>
          <w:trHeight w:val="1610"/>
        </w:trPr>
        <w:tc>
          <w:tcPr>
            <w:tcW w:w="938" w:type="pct"/>
            <w:tcBorders>
              <w:left w:val="double" w:sz="4" w:space="0" w:color="auto"/>
            </w:tcBorders>
            <w:shd w:val="clear" w:color="auto" w:fill="auto"/>
          </w:tcPr>
          <w:p w:rsidR="009A6D0D" w:rsidRPr="00CF4C4E" w:rsidRDefault="009A6D0D" w:rsidP="00CF4C4E">
            <w:pPr>
              <w:contextualSpacing/>
              <w:rPr>
                <w:sz w:val="20"/>
                <w:szCs w:val="20"/>
                <w:lang w:val="en-GB"/>
              </w:rPr>
            </w:pPr>
            <w:r w:rsidRPr="00CF4C4E">
              <w:rPr>
                <w:sz w:val="20"/>
                <w:szCs w:val="20"/>
                <w:lang w:val="en-GB"/>
              </w:rPr>
              <w:t>4.2.1 Hold continuous training of border police on identifying TF risks;</w:t>
            </w:r>
          </w:p>
        </w:tc>
        <w:tc>
          <w:tcPr>
            <w:tcW w:w="448" w:type="pct"/>
            <w:shd w:val="clear" w:color="auto" w:fill="auto"/>
          </w:tcPr>
          <w:p w:rsidR="009A6D0D" w:rsidRPr="00CF4C4E" w:rsidRDefault="009A6D0D" w:rsidP="00CF4C4E">
            <w:pPr>
              <w:rPr>
                <w:sz w:val="20"/>
                <w:szCs w:val="20"/>
                <w:lang w:val="en-GB"/>
              </w:rPr>
            </w:pPr>
            <w:r w:rsidRPr="00CF4C4E">
              <w:rPr>
                <w:sz w:val="20"/>
                <w:szCs w:val="20"/>
                <w:lang w:val="en-GB"/>
              </w:rPr>
              <w:t xml:space="preserve">MoI </w:t>
            </w:r>
          </w:p>
        </w:tc>
        <w:tc>
          <w:tcPr>
            <w:tcW w:w="485" w:type="pct"/>
            <w:shd w:val="clear" w:color="auto" w:fill="auto"/>
          </w:tcPr>
          <w:p w:rsidR="009A6D0D" w:rsidRPr="00CF4C4E" w:rsidRDefault="009A6D0D" w:rsidP="00CF4C4E">
            <w:pPr>
              <w:rPr>
                <w:sz w:val="20"/>
                <w:szCs w:val="20"/>
                <w:lang w:val="en-GB"/>
              </w:rPr>
            </w:pPr>
          </w:p>
        </w:tc>
        <w:tc>
          <w:tcPr>
            <w:tcW w:w="454" w:type="pct"/>
            <w:shd w:val="clear" w:color="auto" w:fill="auto"/>
          </w:tcPr>
          <w:p w:rsidR="009A6D0D" w:rsidRPr="00CF4C4E" w:rsidRDefault="009A6D0D" w:rsidP="00CF4C4E">
            <w:pPr>
              <w:rPr>
                <w:sz w:val="20"/>
                <w:szCs w:val="20"/>
                <w:lang w:val="en-GB"/>
              </w:rPr>
            </w:pPr>
            <w:r w:rsidRPr="00CF4C4E">
              <w:rPr>
                <w:sz w:val="20"/>
                <w:szCs w:val="20"/>
                <w:lang w:val="en-GB"/>
              </w:rPr>
              <w:t>IV quarter of 2022</w:t>
            </w:r>
          </w:p>
        </w:tc>
        <w:tc>
          <w:tcPr>
            <w:tcW w:w="615" w:type="pct"/>
            <w:shd w:val="clear" w:color="auto" w:fill="auto"/>
          </w:tcPr>
          <w:p w:rsidR="009A6D0D" w:rsidRPr="00CF4C4E" w:rsidRDefault="009A6D0D" w:rsidP="00CF4C4E">
            <w:pPr>
              <w:rPr>
                <w:sz w:val="20"/>
                <w:szCs w:val="20"/>
                <w:highlight w:val="yellow"/>
                <w:lang w:val="en-GB"/>
              </w:rPr>
            </w:pPr>
            <w:r w:rsidRPr="00CF4C4E">
              <w:rPr>
                <w:sz w:val="20"/>
                <w:szCs w:val="20"/>
                <w:lang w:val="en-GB"/>
              </w:rPr>
              <w:t>Financed as part of regular activities of staff/International donor funds</w:t>
            </w:r>
          </w:p>
        </w:tc>
        <w:tc>
          <w:tcPr>
            <w:tcW w:w="453" w:type="pct"/>
            <w:shd w:val="clear" w:color="auto" w:fill="auto"/>
          </w:tcPr>
          <w:p w:rsidR="009A6D0D" w:rsidRPr="00CF4C4E" w:rsidRDefault="009A6D0D" w:rsidP="00CF4C4E">
            <w:pPr>
              <w:rPr>
                <w:sz w:val="20"/>
                <w:szCs w:val="20"/>
                <w:lang w:val="en-GB"/>
              </w:rPr>
            </w:pPr>
          </w:p>
        </w:tc>
        <w:tc>
          <w:tcPr>
            <w:tcW w:w="550" w:type="pct"/>
            <w:shd w:val="clear" w:color="auto" w:fill="auto"/>
          </w:tcPr>
          <w:p w:rsidR="009A6D0D" w:rsidRPr="00CF4C4E" w:rsidRDefault="009A6D0D" w:rsidP="00CF4C4E">
            <w:pPr>
              <w:rPr>
                <w:sz w:val="20"/>
                <w:szCs w:val="20"/>
                <w:lang w:val="en-GB"/>
              </w:rPr>
            </w:pPr>
          </w:p>
        </w:tc>
        <w:tc>
          <w:tcPr>
            <w:tcW w:w="518" w:type="pct"/>
            <w:shd w:val="clear" w:color="auto" w:fill="auto"/>
          </w:tcPr>
          <w:p w:rsidR="009A6D0D" w:rsidRPr="00CF4C4E" w:rsidRDefault="009A6D0D" w:rsidP="00CF4C4E">
            <w:pPr>
              <w:rPr>
                <w:sz w:val="20"/>
                <w:szCs w:val="20"/>
                <w:lang w:val="en-GB"/>
              </w:rPr>
            </w:pPr>
          </w:p>
        </w:tc>
        <w:tc>
          <w:tcPr>
            <w:tcW w:w="539" w:type="pct"/>
            <w:shd w:val="clear" w:color="auto" w:fill="auto"/>
          </w:tcPr>
          <w:p w:rsidR="009A6D0D" w:rsidRPr="00CF4C4E" w:rsidRDefault="009A6D0D" w:rsidP="00CF4C4E">
            <w:pPr>
              <w:rPr>
                <w:sz w:val="20"/>
                <w:szCs w:val="20"/>
                <w:lang w:val="en-GB"/>
              </w:rPr>
            </w:pPr>
          </w:p>
        </w:tc>
      </w:tr>
      <w:tr w:rsidR="009A6D0D" w:rsidRPr="00CF4C4E" w:rsidTr="006E272C">
        <w:trPr>
          <w:trHeight w:val="1610"/>
        </w:trPr>
        <w:tc>
          <w:tcPr>
            <w:tcW w:w="938" w:type="pct"/>
            <w:tcBorders>
              <w:left w:val="double" w:sz="4" w:space="0" w:color="auto"/>
            </w:tcBorders>
            <w:shd w:val="clear" w:color="auto" w:fill="auto"/>
          </w:tcPr>
          <w:p w:rsidR="009A6D0D" w:rsidRPr="00CF4C4E" w:rsidRDefault="009A6D0D" w:rsidP="00CF4C4E">
            <w:pPr>
              <w:contextualSpacing/>
              <w:rPr>
                <w:sz w:val="20"/>
                <w:szCs w:val="20"/>
                <w:lang w:val="en-GB"/>
              </w:rPr>
            </w:pPr>
            <w:r w:rsidRPr="00CF4C4E">
              <w:rPr>
                <w:sz w:val="20"/>
                <w:szCs w:val="20"/>
                <w:lang w:val="en-GB"/>
              </w:rPr>
              <w:t>4.2.2 Hold continuous training of customs officers on identifying TF risks;</w:t>
            </w:r>
          </w:p>
        </w:tc>
        <w:tc>
          <w:tcPr>
            <w:tcW w:w="448" w:type="pct"/>
            <w:shd w:val="clear" w:color="auto" w:fill="auto"/>
          </w:tcPr>
          <w:p w:rsidR="009A6D0D" w:rsidRPr="00CF4C4E" w:rsidRDefault="009A6D0D" w:rsidP="00CF4C4E">
            <w:pPr>
              <w:rPr>
                <w:sz w:val="20"/>
                <w:szCs w:val="20"/>
                <w:lang w:val="en-GB"/>
              </w:rPr>
            </w:pPr>
            <w:r w:rsidRPr="00CF4C4E">
              <w:rPr>
                <w:sz w:val="20"/>
                <w:szCs w:val="20"/>
                <w:lang w:val="en-GB"/>
              </w:rPr>
              <w:t>MoF-CA</w:t>
            </w:r>
          </w:p>
        </w:tc>
        <w:tc>
          <w:tcPr>
            <w:tcW w:w="485" w:type="pct"/>
            <w:shd w:val="clear" w:color="auto" w:fill="auto"/>
          </w:tcPr>
          <w:p w:rsidR="009A6D0D" w:rsidRPr="00CF4C4E" w:rsidRDefault="00A366AD" w:rsidP="00CF4C4E">
            <w:pPr>
              <w:rPr>
                <w:sz w:val="20"/>
                <w:szCs w:val="20"/>
                <w:lang w:val="en-GB"/>
              </w:rPr>
            </w:pPr>
            <w:r w:rsidRPr="00CF4C4E">
              <w:rPr>
                <w:sz w:val="20"/>
                <w:szCs w:val="20"/>
                <w:lang w:val="en-GB"/>
              </w:rPr>
              <w:t>APML, MoI</w:t>
            </w:r>
          </w:p>
        </w:tc>
        <w:tc>
          <w:tcPr>
            <w:tcW w:w="454" w:type="pct"/>
            <w:shd w:val="clear" w:color="auto" w:fill="auto"/>
          </w:tcPr>
          <w:p w:rsidR="009A6D0D" w:rsidRPr="00CF4C4E" w:rsidRDefault="009A6D0D" w:rsidP="00CF4C4E">
            <w:pPr>
              <w:rPr>
                <w:sz w:val="20"/>
                <w:szCs w:val="20"/>
                <w:lang w:val="en-GB"/>
              </w:rPr>
            </w:pPr>
            <w:r w:rsidRPr="00CF4C4E">
              <w:rPr>
                <w:sz w:val="20"/>
                <w:szCs w:val="20"/>
                <w:lang w:val="en-GB"/>
              </w:rPr>
              <w:t>IV quarter of 2022</w:t>
            </w:r>
          </w:p>
        </w:tc>
        <w:tc>
          <w:tcPr>
            <w:tcW w:w="615" w:type="pct"/>
            <w:shd w:val="clear" w:color="auto" w:fill="auto"/>
          </w:tcPr>
          <w:p w:rsidR="009A6D0D" w:rsidRPr="00CF4C4E" w:rsidRDefault="009A6D0D" w:rsidP="00CF4C4E">
            <w:pPr>
              <w:rPr>
                <w:sz w:val="20"/>
                <w:szCs w:val="20"/>
                <w:highlight w:val="yellow"/>
                <w:lang w:val="en-GB"/>
              </w:rPr>
            </w:pPr>
            <w:r w:rsidRPr="00CF4C4E">
              <w:rPr>
                <w:sz w:val="20"/>
                <w:szCs w:val="20"/>
                <w:lang w:val="en-GB"/>
              </w:rPr>
              <w:t>Financed as part of regular activities of staff/International donor funds</w:t>
            </w:r>
          </w:p>
        </w:tc>
        <w:tc>
          <w:tcPr>
            <w:tcW w:w="453" w:type="pct"/>
            <w:shd w:val="clear" w:color="auto" w:fill="auto"/>
          </w:tcPr>
          <w:p w:rsidR="009A6D0D" w:rsidRPr="00CF4C4E" w:rsidRDefault="009A6D0D" w:rsidP="00CF4C4E">
            <w:pPr>
              <w:rPr>
                <w:sz w:val="20"/>
                <w:szCs w:val="20"/>
                <w:lang w:val="en-GB"/>
              </w:rPr>
            </w:pPr>
          </w:p>
        </w:tc>
        <w:tc>
          <w:tcPr>
            <w:tcW w:w="550" w:type="pct"/>
            <w:shd w:val="clear" w:color="auto" w:fill="auto"/>
          </w:tcPr>
          <w:p w:rsidR="009A6D0D" w:rsidRPr="00CF4C4E" w:rsidRDefault="009A6D0D" w:rsidP="00CF4C4E">
            <w:pPr>
              <w:rPr>
                <w:sz w:val="20"/>
                <w:szCs w:val="20"/>
                <w:lang w:val="en-GB"/>
              </w:rPr>
            </w:pPr>
          </w:p>
        </w:tc>
        <w:tc>
          <w:tcPr>
            <w:tcW w:w="518" w:type="pct"/>
            <w:shd w:val="clear" w:color="auto" w:fill="auto"/>
          </w:tcPr>
          <w:p w:rsidR="009A6D0D" w:rsidRPr="00CF4C4E" w:rsidRDefault="009A6D0D" w:rsidP="00CF4C4E">
            <w:pPr>
              <w:rPr>
                <w:sz w:val="20"/>
                <w:szCs w:val="20"/>
                <w:lang w:val="en-GB"/>
              </w:rPr>
            </w:pPr>
          </w:p>
        </w:tc>
        <w:tc>
          <w:tcPr>
            <w:tcW w:w="539" w:type="pct"/>
            <w:shd w:val="clear" w:color="auto" w:fill="auto"/>
          </w:tcPr>
          <w:p w:rsidR="009A6D0D" w:rsidRPr="00CF4C4E" w:rsidRDefault="009A6D0D" w:rsidP="00CF4C4E">
            <w:pPr>
              <w:rPr>
                <w:sz w:val="20"/>
                <w:szCs w:val="20"/>
                <w:lang w:val="en-GB"/>
              </w:rPr>
            </w:pPr>
          </w:p>
        </w:tc>
      </w:tr>
      <w:tr w:rsidR="009A6D0D" w:rsidRPr="00CF4C4E" w:rsidTr="00C11F8E">
        <w:trPr>
          <w:trHeight w:val="140"/>
        </w:trPr>
        <w:tc>
          <w:tcPr>
            <w:tcW w:w="938" w:type="pct"/>
            <w:tcBorders>
              <w:left w:val="double" w:sz="4" w:space="0" w:color="auto"/>
            </w:tcBorders>
            <w:shd w:val="clear" w:color="auto" w:fill="auto"/>
          </w:tcPr>
          <w:p w:rsidR="009A6D0D" w:rsidRPr="00CF4C4E" w:rsidRDefault="009A6D0D" w:rsidP="00CF4C4E">
            <w:pPr>
              <w:rPr>
                <w:sz w:val="20"/>
                <w:szCs w:val="20"/>
                <w:lang w:val="en-GB"/>
              </w:rPr>
            </w:pPr>
            <w:r w:rsidRPr="00CF4C4E">
              <w:rPr>
                <w:sz w:val="20"/>
                <w:szCs w:val="20"/>
                <w:lang w:val="en-GB"/>
              </w:rPr>
              <w:t>4.2.3 Review methods for alternative funds transfers and use of modern technologies (virtual assets, foreign money transfer institutions, etc.) for terrorist financing and adopt new measures as appropriate;</w:t>
            </w:r>
          </w:p>
        </w:tc>
        <w:tc>
          <w:tcPr>
            <w:tcW w:w="448" w:type="pct"/>
            <w:shd w:val="clear" w:color="auto" w:fill="auto"/>
          </w:tcPr>
          <w:p w:rsidR="009A6D0D" w:rsidRPr="00CF4C4E" w:rsidRDefault="009A6D0D" w:rsidP="00CF4C4E">
            <w:pPr>
              <w:rPr>
                <w:sz w:val="20"/>
                <w:szCs w:val="20"/>
                <w:lang w:val="en-GB"/>
              </w:rPr>
            </w:pPr>
            <w:r w:rsidRPr="00CF4C4E">
              <w:rPr>
                <w:sz w:val="20"/>
                <w:szCs w:val="20"/>
                <w:lang w:val="en-GB"/>
              </w:rPr>
              <w:t>NCBT</w:t>
            </w:r>
          </w:p>
        </w:tc>
        <w:tc>
          <w:tcPr>
            <w:tcW w:w="485" w:type="pct"/>
            <w:shd w:val="clear" w:color="auto" w:fill="auto"/>
          </w:tcPr>
          <w:p w:rsidR="009A6D0D" w:rsidRPr="00CF4C4E" w:rsidRDefault="009A6D0D" w:rsidP="00CF4C4E">
            <w:pPr>
              <w:rPr>
                <w:sz w:val="20"/>
                <w:szCs w:val="20"/>
                <w:lang w:val="en-GB"/>
              </w:rPr>
            </w:pPr>
            <w:r w:rsidRPr="00CF4C4E">
              <w:rPr>
                <w:sz w:val="20"/>
                <w:szCs w:val="20"/>
                <w:lang w:val="en-GB"/>
              </w:rPr>
              <w:t>NBS, SC,</w:t>
            </w:r>
          </w:p>
          <w:p w:rsidR="009A6D0D" w:rsidRPr="00CF4C4E" w:rsidRDefault="009A6D0D" w:rsidP="00CF4C4E">
            <w:pPr>
              <w:rPr>
                <w:sz w:val="20"/>
                <w:szCs w:val="20"/>
                <w:lang w:val="en-GB"/>
              </w:rPr>
            </w:pPr>
            <w:r w:rsidRPr="00CF4C4E">
              <w:rPr>
                <w:sz w:val="20"/>
                <w:szCs w:val="20"/>
                <w:lang w:val="en-GB"/>
              </w:rPr>
              <w:t>SIA,</w:t>
            </w:r>
          </w:p>
          <w:p w:rsidR="009A6D0D" w:rsidRPr="00CF4C4E" w:rsidRDefault="009A6D0D" w:rsidP="00CF4C4E">
            <w:pPr>
              <w:rPr>
                <w:sz w:val="20"/>
                <w:szCs w:val="20"/>
                <w:lang w:val="en-GB"/>
              </w:rPr>
            </w:pPr>
            <w:r w:rsidRPr="00CF4C4E">
              <w:rPr>
                <w:sz w:val="20"/>
                <w:szCs w:val="20"/>
                <w:lang w:val="en-GB"/>
              </w:rPr>
              <w:t>MOI, APML,</w:t>
            </w:r>
          </w:p>
          <w:p w:rsidR="009A6D0D" w:rsidRPr="00CF4C4E" w:rsidRDefault="009A6D0D" w:rsidP="00CF4C4E">
            <w:pPr>
              <w:rPr>
                <w:sz w:val="20"/>
                <w:szCs w:val="20"/>
                <w:lang w:val="en-GB"/>
              </w:rPr>
            </w:pPr>
            <w:r w:rsidRPr="00CF4C4E">
              <w:rPr>
                <w:sz w:val="20"/>
                <w:szCs w:val="20"/>
                <w:lang w:val="en-GB"/>
              </w:rPr>
              <w:t>NSCCIPO</w:t>
            </w:r>
          </w:p>
        </w:tc>
        <w:tc>
          <w:tcPr>
            <w:tcW w:w="454" w:type="pct"/>
            <w:shd w:val="clear" w:color="auto" w:fill="auto"/>
          </w:tcPr>
          <w:p w:rsidR="009A6D0D" w:rsidRPr="00CF4C4E" w:rsidRDefault="009A6D0D" w:rsidP="00CF4C4E">
            <w:pPr>
              <w:rPr>
                <w:sz w:val="20"/>
                <w:szCs w:val="20"/>
                <w:lang w:val="en-GB"/>
              </w:rPr>
            </w:pPr>
            <w:r w:rsidRPr="00CF4C4E">
              <w:rPr>
                <w:sz w:val="20"/>
                <w:szCs w:val="20"/>
                <w:lang w:val="en-GB"/>
              </w:rPr>
              <w:t>Analysis: IV quarter of 2021; Adoption of new measures: IV quarter of 2022</w:t>
            </w:r>
          </w:p>
        </w:tc>
        <w:tc>
          <w:tcPr>
            <w:tcW w:w="615" w:type="pct"/>
            <w:shd w:val="clear" w:color="auto" w:fill="auto"/>
          </w:tcPr>
          <w:p w:rsidR="009A6D0D" w:rsidRPr="00CF4C4E" w:rsidRDefault="009A6D0D" w:rsidP="00CF4C4E">
            <w:pPr>
              <w:rPr>
                <w:sz w:val="20"/>
                <w:szCs w:val="20"/>
                <w:highlight w:val="yellow"/>
                <w:lang w:val="en-GB"/>
              </w:rPr>
            </w:pPr>
            <w:r w:rsidRPr="00CF4C4E">
              <w:rPr>
                <w:sz w:val="20"/>
                <w:szCs w:val="20"/>
                <w:lang w:val="en-GB"/>
              </w:rPr>
              <w:t>Financed as part of regular activities of staff/International donor funds</w:t>
            </w:r>
          </w:p>
        </w:tc>
        <w:tc>
          <w:tcPr>
            <w:tcW w:w="453" w:type="pct"/>
            <w:shd w:val="clear" w:color="auto" w:fill="auto"/>
          </w:tcPr>
          <w:p w:rsidR="009A6D0D" w:rsidRPr="00CF4C4E" w:rsidRDefault="009A6D0D" w:rsidP="00CF4C4E">
            <w:pPr>
              <w:rPr>
                <w:sz w:val="20"/>
                <w:szCs w:val="20"/>
                <w:lang w:val="en-GB"/>
              </w:rPr>
            </w:pPr>
          </w:p>
        </w:tc>
        <w:tc>
          <w:tcPr>
            <w:tcW w:w="550" w:type="pct"/>
            <w:shd w:val="clear" w:color="auto" w:fill="auto"/>
          </w:tcPr>
          <w:p w:rsidR="009A6D0D" w:rsidRPr="00CF4C4E" w:rsidRDefault="009A6D0D" w:rsidP="00CF4C4E">
            <w:pPr>
              <w:rPr>
                <w:sz w:val="20"/>
                <w:szCs w:val="20"/>
                <w:lang w:val="en-GB"/>
              </w:rPr>
            </w:pPr>
          </w:p>
        </w:tc>
        <w:tc>
          <w:tcPr>
            <w:tcW w:w="518" w:type="pct"/>
            <w:shd w:val="clear" w:color="auto" w:fill="auto"/>
          </w:tcPr>
          <w:p w:rsidR="009A6D0D" w:rsidRPr="00CF4C4E" w:rsidRDefault="009A6D0D" w:rsidP="00CF4C4E">
            <w:pPr>
              <w:rPr>
                <w:sz w:val="20"/>
                <w:szCs w:val="20"/>
                <w:lang w:val="en-GB"/>
              </w:rPr>
            </w:pPr>
          </w:p>
        </w:tc>
        <w:tc>
          <w:tcPr>
            <w:tcW w:w="539" w:type="pct"/>
            <w:shd w:val="clear" w:color="auto" w:fill="auto"/>
          </w:tcPr>
          <w:p w:rsidR="009A6D0D" w:rsidRPr="00CF4C4E" w:rsidRDefault="009A6D0D" w:rsidP="00CF4C4E">
            <w:pPr>
              <w:rPr>
                <w:sz w:val="20"/>
                <w:szCs w:val="20"/>
                <w:lang w:val="en-GB"/>
              </w:rPr>
            </w:pPr>
          </w:p>
        </w:tc>
      </w:tr>
    </w:tbl>
    <w:p w:rsidR="00FC4AE1" w:rsidRPr="00CF4C4E" w:rsidRDefault="00FC4AE1" w:rsidP="00CF4C4E">
      <w:pPr>
        <w:rPr>
          <w:sz w:val="20"/>
          <w:szCs w:val="20"/>
          <w:lang w:val="en-GB"/>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2"/>
        <w:gridCol w:w="1845"/>
        <w:gridCol w:w="2538"/>
        <w:gridCol w:w="153"/>
        <w:gridCol w:w="1418"/>
        <w:gridCol w:w="883"/>
        <w:gridCol w:w="1446"/>
        <w:gridCol w:w="8"/>
        <w:gridCol w:w="1491"/>
        <w:gridCol w:w="1423"/>
      </w:tblGrid>
      <w:tr w:rsidR="00E81497" w:rsidRPr="00CF4C4E" w:rsidTr="0003799E">
        <w:trPr>
          <w:trHeight w:val="169"/>
        </w:trPr>
        <w:tc>
          <w:tcPr>
            <w:tcW w:w="5000" w:type="pct"/>
            <w:gridSpan w:val="10"/>
            <w:tcBorders>
              <w:top w:val="double" w:sz="4" w:space="0" w:color="auto"/>
              <w:left w:val="double" w:sz="4" w:space="0" w:color="auto"/>
              <w:right w:val="double" w:sz="4" w:space="0" w:color="auto"/>
            </w:tcBorders>
            <w:shd w:val="clear" w:color="auto" w:fill="F7CAAC"/>
            <w:vAlign w:val="center"/>
          </w:tcPr>
          <w:p w:rsidR="00E81497" w:rsidRPr="00CF4C4E" w:rsidRDefault="00E81497" w:rsidP="00CF4C4E">
            <w:pPr>
              <w:pStyle w:val="Heading3"/>
              <w:spacing w:before="0"/>
              <w:rPr>
                <w:rFonts w:cs="Times New Roman"/>
                <w:szCs w:val="20"/>
                <w:lang w:val="en-GB"/>
              </w:rPr>
            </w:pPr>
            <w:bookmarkStart w:id="17" w:name="_Toc32409921"/>
            <w:r w:rsidRPr="00CF4C4E">
              <w:rPr>
                <w:rFonts w:cs="Times New Roman"/>
                <w:szCs w:val="20"/>
                <w:lang w:val="en-GB"/>
              </w:rPr>
              <w:t>Measure 4.3:</w:t>
            </w:r>
            <w:r w:rsidRPr="00CF4C4E">
              <w:rPr>
                <w:rFonts w:cs="Times New Roman"/>
                <w:b w:val="0"/>
                <w:bCs w:val="0"/>
                <w:szCs w:val="20"/>
                <w:lang w:val="en-GB"/>
              </w:rPr>
              <w:t xml:space="preserve"> </w:t>
            </w:r>
            <w:r w:rsidRPr="00CF4C4E">
              <w:rPr>
                <w:rFonts w:cs="Times New Roman"/>
                <w:szCs w:val="20"/>
                <w:lang w:val="en-GB"/>
              </w:rPr>
              <w:t>Improvement of the framework for preventing the abuse of the NPO sector for terrorist financing, through active cooperation between the public and NPO sectors</w:t>
            </w:r>
            <w:bookmarkEnd w:id="17"/>
          </w:p>
        </w:tc>
      </w:tr>
      <w:tr w:rsidR="00E81497" w:rsidRPr="00CF4C4E" w:rsidTr="0003799E">
        <w:trPr>
          <w:trHeight w:val="300"/>
        </w:trPr>
        <w:tc>
          <w:tcPr>
            <w:tcW w:w="5000" w:type="pct"/>
            <w:gridSpan w:val="10"/>
            <w:tcBorders>
              <w:top w:val="double" w:sz="4" w:space="0" w:color="auto"/>
              <w:left w:val="double" w:sz="4" w:space="0" w:color="auto"/>
              <w:bottom w:val="double" w:sz="4" w:space="0" w:color="auto"/>
              <w:right w:val="double" w:sz="4" w:space="0" w:color="auto"/>
            </w:tcBorders>
            <w:shd w:val="clear" w:color="auto" w:fill="F7CAAC"/>
            <w:vAlign w:val="center"/>
          </w:tcPr>
          <w:p w:rsidR="00E81497" w:rsidRPr="00CF4C4E" w:rsidRDefault="00E81497" w:rsidP="00CF4C4E">
            <w:pPr>
              <w:rPr>
                <w:sz w:val="20"/>
                <w:szCs w:val="20"/>
                <w:lang w:val="en-GB"/>
              </w:rPr>
            </w:pPr>
            <w:r w:rsidRPr="00CF4C4E">
              <w:rPr>
                <w:rFonts w:eastAsia="Times New Roman"/>
                <w:color w:val="222222"/>
                <w:sz w:val="20"/>
                <w:szCs w:val="20"/>
                <w:lang w:val="en-GB"/>
              </w:rPr>
              <w:t>Institution responsible for monitoring and control of implementation: Coordination Body for the Prevention of Money Laundering and the Financing of Terrorism (AML/CFT CB)</w:t>
            </w:r>
          </w:p>
        </w:tc>
      </w:tr>
      <w:tr w:rsidR="00E81497" w:rsidRPr="00CF4C4E" w:rsidTr="0054380B">
        <w:trPr>
          <w:trHeight w:val="300"/>
        </w:trPr>
        <w:tc>
          <w:tcPr>
            <w:tcW w:w="2589" w:type="pct"/>
            <w:gridSpan w:val="3"/>
            <w:tcBorders>
              <w:top w:val="double" w:sz="4" w:space="0" w:color="auto"/>
              <w:left w:val="double" w:sz="4" w:space="0" w:color="auto"/>
              <w:bottom w:val="double" w:sz="4" w:space="0" w:color="auto"/>
              <w:right w:val="double" w:sz="4" w:space="0" w:color="auto"/>
            </w:tcBorders>
            <w:shd w:val="clear" w:color="auto" w:fill="F7CAAC"/>
            <w:vAlign w:val="center"/>
          </w:tcPr>
          <w:p w:rsidR="00E81497" w:rsidRPr="00CF4C4E" w:rsidRDefault="00E81497" w:rsidP="00CF4C4E">
            <w:pPr>
              <w:rPr>
                <w:sz w:val="20"/>
                <w:szCs w:val="20"/>
                <w:lang w:val="en-GB"/>
              </w:rPr>
            </w:pPr>
            <w:r w:rsidRPr="00CF4C4E">
              <w:rPr>
                <w:sz w:val="20"/>
                <w:szCs w:val="20"/>
                <w:lang w:val="en-GB"/>
              </w:rPr>
              <w:t>Implementation period: 2020-2022</w:t>
            </w:r>
          </w:p>
        </w:tc>
        <w:tc>
          <w:tcPr>
            <w:tcW w:w="2411" w:type="pct"/>
            <w:gridSpan w:val="7"/>
            <w:tcBorders>
              <w:top w:val="double" w:sz="4" w:space="0" w:color="auto"/>
              <w:left w:val="double" w:sz="4" w:space="0" w:color="auto"/>
              <w:bottom w:val="double" w:sz="4" w:space="0" w:color="auto"/>
              <w:right w:val="double" w:sz="4" w:space="0" w:color="auto"/>
            </w:tcBorders>
            <w:shd w:val="clear" w:color="auto" w:fill="F7CAAC"/>
            <w:vAlign w:val="center"/>
          </w:tcPr>
          <w:p w:rsidR="00E81497" w:rsidRPr="00CF4C4E" w:rsidRDefault="00E81497" w:rsidP="00CF4C4E">
            <w:pPr>
              <w:rPr>
                <w:sz w:val="20"/>
                <w:szCs w:val="20"/>
                <w:lang w:val="en-GB"/>
              </w:rPr>
            </w:pPr>
            <w:r w:rsidRPr="00CF4C4E">
              <w:rPr>
                <w:sz w:val="20"/>
                <w:szCs w:val="20"/>
                <w:lang w:val="en-GB"/>
              </w:rPr>
              <w:t>Type of measure: Institutional/managerial/organisational</w:t>
            </w:r>
          </w:p>
        </w:tc>
      </w:tr>
      <w:tr w:rsidR="00F3347F" w:rsidRPr="00CF4C4E" w:rsidTr="00F3347F">
        <w:trPr>
          <w:trHeight w:val="955"/>
        </w:trPr>
        <w:tc>
          <w:tcPr>
            <w:tcW w:w="1040" w:type="pct"/>
            <w:tcBorders>
              <w:top w:val="double" w:sz="4" w:space="0" w:color="auto"/>
            </w:tcBorders>
            <w:shd w:val="clear" w:color="auto" w:fill="D9D9D9"/>
            <w:vAlign w:val="center"/>
          </w:tcPr>
          <w:p w:rsidR="00F3347F" w:rsidRPr="00CF4C4E" w:rsidRDefault="00F3347F" w:rsidP="00CF4C4E">
            <w:pPr>
              <w:rPr>
                <w:sz w:val="20"/>
                <w:szCs w:val="20"/>
                <w:lang w:val="en-GB"/>
              </w:rPr>
            </w:pPr>
            <w:r w:rsidRPr="00CF4C4E">
              <w:rPr>
                <w:sz w:val="20"/>
                <w:szCs w:val="20"/>
                <w:lang w:val="en-GB"/>
              </w:rPr>
              <w:lastRenderedPageBreak/>
              <w:t>Indicator(s) at the level of measure (result indicator):</w:t>
            </w:r>
          </w:p>
        </w:tc>
        <w:tc>
          <w:tcPr>
            <w:tcW w:w="652" w:type="pct"/>
            <w:tcBorders>
              <w:top w:val="double" w:sz="4" w:space="0" w:color="auto"/>
            </w:tcBorders>
            <w:shd w:val="clear" w:color="auto" w:fill="D9D9D9"/>
            <w:vAlign w:val="center"/>
          </w:tcPr>
          <w:p w:rsidR="00F3347F" w:rsidRPr="00CF4C4E" w:rsidRDefault="00F3347F" w:rsidP="00CF4C4E">
            <w:pPr>
              <w:rPr>
                <w:sz w:val="20"/>
                <w:szCs w:val="20"/>
                <w:lang w:val="en-GB"/>
              </w:rPr>
            </w:pPr>
            <w:r w:rsidRPr="00CF4C4E">
              <w:rPr>
                <w:sz w:val="20"/>
                <w:szCs w:val="20"/>
                <w:lang w:val="en-GB"/>
              </w:rPr>
              <w:t>Unit of measurement</w:t>
            </w:r>
          </w:p>
          <w:p w:rsidR="00F3347F" w:rsidRPr="00CF4C4E" w:rsidRDefault="00F3347F" w:rsidP="00CF4C4E">
            <w:pPr>
              <w:rPr>
                <w:sz w:val="20"/>
                <w:szCs w:val="20"/>
                <w:lang w:val="en-GB"/>
              </w:rPr>
            </w:pPr>
          </w:p>
        </w:tc>
        <w:tc>
          <w:tcPr>
            <w:tcW w:w="951" w:type="pct"/>
            <w:gridSpan w:val="2"/>
            <w:tcBorders>
              <w:top w:val="double" w:sz="4" w:space="0" w:color="auto"/>
            </w:tcBorders>
            <w:shd w:val="clear" w:color="auto" w:fill="D9D9D9"/>
            <w:vAlign w:val="center"/>
          </w:tcPr>
          <w:p w:rsidR="00F3347F" w:rsidRPr="00CF4C4E" w:rsidRDefault="00F3347F" w:rsidP="00CF4C4E">
            <w:pPr>
              <w:rPr>
                <w:sz w:val="20"/>
                <w:szCs w:val="20"/>
                <w:lang w:val="en-GB"/>
              </w:rPr>
            </w:pPr>
            <w:r w:rsidRPr="00CF4C4E">
              <w:rPr>
                <w:sz w:val="20"/>
                <w:szCs w:val="20"/>
                <w:lang w:val="en-GB"/>
              </w:rPr>
              <w:t>Source of verification</w:t>
            </w:r>
          </w:p>
        </w:tc>
        <w:tc>
          <w:tcPr>
            <w:tcW w:w="501" w:type="pct"/>
            <w:tcBorders>
              <w:top w:val="double" w:sz="4" w:space="0" w:color="auto"/>
            </w:tcBorders>
            <w:shd w:val="clear" w:color="auto" w:fill="D9D9D9"/>
            <w:vAlign w:val="center"/>
          </w:tcPr>
          <w:p w:rsidR="00F3347F" w:rsidRPr="00CF4C4E" w:rsidRDefault="00F3347F" w:rsidP="00CF4C4E">
            <w:pPr>
              <w:rPr>
                <w:sz w:val="20"/>
                <w:szCs w:val="20"/>
                <w:lang w:val="en-GB"/>
              </w:rPr>
            </w:pPr>
            <w:r w:rsidRPr="00CF4C4E">
              <w:rPr>
                <w:sz w:val="20"/>
                <w:szCs w:val="20"/>
                <w:lang w:val="en-GB"/>
              </w:rPr>
              <w:t xml:space="preserve">Base value </w:t>
            </w:r>
          </w:p>
        </w:tc>
        <w:tc>
          <w:tcPr>
            <w:tcW w:w="312" w:type="pct"/>
            <w:tcBorders>
              <w:top w:val="double" w:sz="4" w:space="0" w:color="auto"/>
            </w:tcBorders>
            <w:shd w:val="clear" w:color="auto" w:fill="D9D9D9"/>
            <w:vAlign w:val="center"/>
          </w:tcPr>
          <w:p w:rsidR="00F3347F" w:rsidRPr="00CF4C4E" w:rsidRDefault="00F3347F" w:rsidP="00CF4C4E">
            <w:pPr>
              <w:rPr>
                <w:sz w:val="20"/>
                <w:szCs w:val="20"/>
                <w:lang w:val="en-GB"/>
              </w:rPr>
            </w:pPr>
            <w:r w:rsidRPr="00CF4C4E">
              <w:rPr>
                <w:sz w:val="20"/>
                <w:szCs w:val="20"/>
                <w:lang w:val="en-GB"/>
              </w:rPr>
              <w:t>Base year</w:t>
            </w:r>
          </w:p>
        </w:tc>
        <w:tc>
          <w:tcPr>
            <w:tcW w:w="514" w:type="pct"/>
            <w:gridSpan w:val="2"/>
            <w:tcBorders>
              <w:top w:val="double" w:sz="4" w:space="0" w:color="auto"/>
            </w:tcBorders>
            <w:shd w:val="clear" w:color="auto" w:fill="D9D9D9"/>
          </w:tcPr>
          <w:p w:rsidR="00F3347F" w:rsidRPr="00CF4C4E" w:rsidRDefault="00F3347F" w:rsidP="00CF4C4E">
            <w:pPr>
              <w:rPr>
                <w:sz w:val="20"/>
                <w:szCs w:val="20"/>
                <w:lang w:val="en-GB"/>
              </w:rPr>
            </w:pPr>
            <w:r w:rsidRPr="00CF4C4E">
              <w:rPr>
                <w:sz w:val="20"/>
                <w:szCs w:val="20"/>
                <w:lang w:val="en-GB"/>
              </w:rPr>
              <w:t>Target value in 2020</w:t>
            </w:r>
          </w:p>
        </w:tc>
        <w:tc>
          <w:tcPr>
            <w:tcW w:w="527" w:type="pct"/>
            <w:tcBorders>
              <w:top w:val="double" w:sz="4" w:space="0" w:color="auto"/>
              <w:right w:val="double" w:sz="4" w:space="0" w:color="auto"/>
            </w:tcBorders>
            <w:shd w:val="clear" w:color="auto" w:fill="D9D9D9"/>
          </w:tcPr>
          <w:p w:rsidR="00F3347F" w:rsidRPr="00CF4C4E" w:rsidRDefault="00F3347F" w:rsidP="00CF4C4E">
            <w:pPr>
              <w:rPr>
                <w:sz w:val="20"/>
                <w:szCs w:val="20"/>
                <w:lang w:val="en-GB"/>
              </w:rPr>
            </w:pPr>
            <w:r w:rsidRPr="00CF4C4E">
              <w:rPr>
                <w:sz w:val="20"/>
                <w:szCs w:val="20"/>
                <w:lang w:val="en-GB"/>
              </w:rPr>
              <w:t>Target value in 2021</w:t>
            </w:r>
          </w:p>
        </w:tc>
        <w:tc>
          <w:tcPr>
            <w:tcW w:w="503" w:type="pct"/>
            <w:tcBorders>
              <w:top w:val="double" w:sz="4" w:space="0" w:color="auto"/>
              <w:right w:val="double" w:sz="4" w:space="0" w:color="auto"/>
            </w:tcBorders>
            <w:shd w:val="clear" w:color="auto" w:fill="D9D9D9"/>
          </w:tcPr>
          <w:p w:rsidR="00F3347F" w:rsidRPr="00CF4C4E" w:rsidRDefault="00885F9C" w:rsidP="00CF4C4E">
            <w:pPr>
              <w:rPr>
                <w:sz w:val="20"/>
                <w:szCs w:val="20"/>
                <w:lang w:val="en-GB"/>
              </w:rPr>
            </w:pPr>
            <w:r w:rsidRPr="00CF4C4E">
              <w:rPr>
                <w:sz w:val="20"/>
                <w:szCs w:val="20"/>
                <w:lang w:val="en-GB"/>
              </w:rPr>
              <w:t>Target value in 2022</w:t>
            </w:r>
          </w:p>
        </w:tc>
      </w:tr>
      <w:tr w:rsidR="00224C1E" w:rsidRPr="00CF4C4E" w:rsidTr="00F3347F">
        <w:trPr>
          <w:trHeight w:val="304"/>
        </w:trPr>
        <w:tc>
          <w:tcPr>
            <w:tcW w:w="1040" w:type="pct"/>
            <w:tcBorders>
              <w:top w:val="double" w:sz="4" w:space="0" w:color="auto"/>
              <w:bottom w:val="double" w:sz="4" w:space="0" w:color="auto"/>
            </w:tcBorders>
            <w:shd w:val="clear" w:color="auto" w:fill="FFFFFF"/>
            <w:vAlign w:val="center"/>
          </w:tcPr>
          <w:p w:rsidR="00224C1E" w:rsidRPr="00CF4C4E" w:rsidRDefault="00224C1E" w:rsidP="00CF4C4E">
            <w:pPr>
              <w:shd w:val="clear" w:color="auto" w:fill="FFFFFF"/>
              <w:rPr>
                <w:sz w:val="20"/>
                <w:szCs w:val="20"/>
                <w:highlight w:val="yellow"/>
                <w:lang w:val="en-GB"/>
              </w:rPr>
            </w:pPr>
            <w:r w:rsidRPr="00CF4C4E">
              <w:rPr>
                <w:sz w:val="20"/>
                <w:szCs w:val="20"/>
                <w:lang w:val="en-GB"/>
              </w:rPr>
              <w:t>Assessment of compliance with international standards, annually</w:t>
            </w:r>
          </w:p>
        </w:tc>
        <w:tc>
          <w:tcPr>
            <w:tcW w:w="652" w:type="pct"/>
            <w:tcBorders>
              <w:top w:val="double" w:sz="4" w:space="0" w:color="auto"/>
              <w:bottom w:val="double" w:sz="4" w:space="0" w:color="auto"/>
            </w:tcBorders>
            <w:shd w:val="clear" w:color="auto" w:fill="FFFFFF"/>
            <w:vAlign w:val="center"/>
          </w:tcPr>
          <w:p w:rsidR="00224C1E" w:rsidRPr="00CF4C4E" w:rsidRDefault="00224C1E" w:rsidP="00CF4C4E">
            <w:pPr>
              <w:shd w:val="clear" w:color="auto" w:fill="FFFFFF" w:themeFill="background1"/>
              <w:rPr>
                <w:color w:val="auto"/>
                <w:sz w:val="20"/>
                <w:szCs w:val="20"/>
                <w:lang w:val="en-GB"/>
              </w:rPr>
            </w:pPr>
            <w:r w:rsidRPr="00CF4C4E">
              <w:rPr>
                <w:color w:val="auto"/>
                <w:sz w:val="20"/>
                <w:szCs w:val="20"/>
                <w:lang w:val="en-GB"/>
              </w:rPr>
              <w:t>a) non-compliant</w:t>
            </w:r>
          </w:p>
          <w:p w:rsidR="00224C1E" w:rsidRPr="00CF4C4E" w:rsidRDefault="00BF22F8" w:rsidP="00CF4C4E">
            <w:pPr>
              <w:shd w:val="clear" w:color="auto" w:fill="FFFFFF" w:themeFill="background1"/>
              <w:rPr>
                <w:color w:val="auto"/>
                <w:sz w:val="20"/>
                <w:szCs w:val="20"/>
                <w:lang w:val="en-GB"/>
              </w:rPr>
            </w:pPr>
            <w:r w:rsidRPr="00CF4C4E">
              <w:rPr>
                <w:color w:val="auto"/>
                <w:sz w:val="20"/>
                <w:szCs w:val="20"/>
                <w:lang w:val="en-GB"/>
              </w:rPr>
              <w:t>b) partially compliant</w:t>
            </w:r>
          </w:p>
          <w:p w:rsidR="00224C1E" w:rsidRPr="00CF4C4E" w:rsidRDefault="00224C1E" w:rsidP="00CF4C4E">
            <w:pPr>
              <w:shd w:val="clear" w:color="auto" w:fill="FFFFFF" w:themeFill="background1"/>
              <w:rPr>
                <w:color w:val="auto"/>
                <w:sz w:val="20"/>
                <w:szCs w:val="20"/>
                <w:lang w:val="en-GB"/>
              </w:rPr>
            </w:pPr>
            <w:r w:rsidRPr="00CF4C4E">
              <w:rPr>
                <w:color w:val="auto"/>
                <w:sz w:val="20"/>
                <w:szCs w:val="20"/>
                <w:lang w:val="en-GB"/>
              </w:rPr>
              <w:t>c) largely compliant</w:t>
            </w:r>
          </w:p>
          <w:p w:rsidR="00224C1E" w:rsidRPr="00CF4C4E" w:rsidRDefault="00224C1E" w:rsidP="00CF4C4E">
            <w:pPr>
              <w:shd w:val="clear" w:color="auto" w:fill="FFFFFF" w:themeFill="background1"/>
              <w:rPr>
                <w:color w:val="auto"/>
                <w:sz w:val="20"/>
                <w:szCs w:val="20"/>
                <w:lang w:val="en-GB"/>
              </w:rPr>
            </w:pPr>
            <w:r w:rsidRPr="00CF4C4E">
              <w:rPr>
                <w:color w:val="auto"/>
                <w:sz w:val="20"/>
                <w:szCs w:val="20"/>
                <w:lang w:val="en-GB"/>
              </w:rPr>
              <w:t>d) compliant</w:t>
            </w:r>
          </w:p>
        </w:tc>
        <w:tc>
          <w:tcPr>
            <w:tcW w:w="951" w:type="pct"/>
            <w:gridSpan w:val="2"/>
            <w:tcBorders>
              <w:top w:val="double" w:sz="4" w:space="0" w:color="auto"/>
              <w:bottom w:val="double" w:sz="4" w:space="0" w:color="auto"/>
            </w:tcBorders>
            <w:shd w:val="clear" w:color="auto" w:fill="FFFFFF"/>
            <w:vAlign w:val="center"/>
          </w:tcPr>
          <w:p w:rsidR="00224C1E" w:rsidRPr="00CF4C4E" w:rsidRDefault="00224C1E" w:rsidP="00CF4C4E">
            <w:pPr>
              <w:shd w:val="clear" w:color="auto" w:fill="FFFFFF"/>
              <w:rPr>
                <w:sz w:val="20"/>
                <w:szCs w:val="20"/>
                <w:lang w:val="en-GB"/>
              </w:rPr>
            </w:pPr>
            <w:r w:rsidRPr="00CF4C4E">
              <w:rPr>
                <w:sz w:val="20"/>
                <w:szCs w:val="20"/>
                <w:lang w:val="en-GB"/>
              </w:rPr>
              <w:t>Reports by competent authorities; Reports of relevant international organisations</w:t>
            </w:r>
          </w:p>
        </w:tc>
        <w:tc>
          <w:tcPr>
            <w:tcW w:w="501" w:type="pct"/>
            <w:tcBorders>
              <w:top w:val="double" w:sz="4" w:space="0" w:color="auto"/>
              <w:bottom w:val="double" w:sz="4" w:space="0" w:color="auto"/>
            </w:tcBorders>
            <w:shd w:val="clear" w:color="auto" w:fill="FFFFFF"/>
            <w:vAlign w:val="center"/>
          </w:tcPr>
          <w:p w:rsidR="00224C1E" w:rsidRPr="00CF4C4E" w:rsidRDefault="00224C1E" w:rsidP="00CF4C4E">
            <w:pPr>
              <w:shd w:val="clear" w:color="auto" w:fill="FFFFFF"/>
              <w:rPr>
                <w:sz w:val="20"/>
                <w:szCs w:val="20"/>
                <w:lang w:val="en-GB"/>
              </w:rPr>
            </w:pPr>
            <w:r w:rsidRPr="00CF4C4E">
              <w:rPr>
                <w:sz w:val="20"/>
                <w:szCs w:val="20"/>
                <w:lang w:val="en-GB"/>
              </w:rPr>
              <w:t xml:space="preserve">Framework is </w:t>
            </w:r>
            <w:r w:rsidRPr="00CF4C4E">
              <w:rPr>
                <w:i/>
                <w:iCs/>
                <w:sz w:val="20"/>
                <w:szCs w:val="20"/>
                <w:lang w:val="en-GB"/>
              </w:rPr>
              <w:t>largely compliant</w:t>
            </w:r>
          </w:p>
        </w:tc>
        <w:tc>
          <w:tcPr>
            <w:tcW w:w="312" w:type="pct"/>
            <w:tcBorders>
              <w:top w:val="double" w:sz="4" w:space="0" w:color="auto"/>
              <w:bottom w:val="double" w:sz="4" w:space="0" w:color="auto"/>
            </w:tcBorders>
            <w:shd w:val="clear" w:color="auto" w:fill="FFFFFF"/>
            <w:vAlign w:val="center"/>
          </w:tcPr>
          <w:p w:rsidR="00224C1E" w:rsidRPr="00CF4C4E" w:rsidRDefault="00224C1E" w:rsidP="00CF4C4E">
            <w:pPr>
              <w:shd w:val="clear" w:color="auto" w:fill="FFFFFF"/>
              <w:rPr>
                <w:sz w:val="20"/>
                <w:szCs w:val="20"/>
                <w:lang w:val="en-GB"/>
              </w:rPr>
            </w:pPr>
            <w:r w:rsidRPr="00CF4C4E">
              <w:rPr>
                <w:sz w:val="20"/>
                <w:szCs w:val="20"/>
                <w:lang w:val="en-GB"/>
              </w:rPr>
              <w:t>2019</w:t>
            </w:r>
          </w:p>
        </w:tc>
        <w:tc>
          <w:tcPr>
            <w:tcW w:w="514" w:type="pct"/>
            <w:gridSpan w:val="2"/>
            <w:tcBorders>
              <w:top w:val="double" w:sz="4" w:space="0" w:color="auto"/>
              <w:bottom w:val="double" w:sz="4" w:space="0" w:color="auto"/>
            </w:tcBorders>
            <w:shd w:val="clear" w:color="auto" w:fill="FFFFFF"/>
            <w:vAlign w:val="center"/>
          </w:tcPr>
          <w:p w:rsidR="00224C1E" w:rsidRPr="00CF4C4E" w:rsidRDefault="00224C1E" w:rsidP="00CF4C4E">
            <w:pPr>
              <w:shd w:val="clear" w:color="auto" w:fill="FFFFFF"/>
              <w:rPr>
                <w:sz w:val="20"/>
                <w:szCs w:val="20"/>
                <w:lang w:val="en-GB"/>
              </w:rPr>
            </w:pPr>
            <w:r w:rsidRPr="00CF4C4E">
              <w:rPr>
                <w:sz w:val="20"/>
                <w:szCs w:val="20"/>
                <w:lang w:val="en-GB"/>
              </w:rPr>
              <w:t>At least largely compliant</w:t>
            </w:r>
          </w:p>
        </w:tc>
        <w:tc>
          <w:tcPr>
            <w:tcW w:w="527" w:type="pct"/>
            <w:tcBorders>
              <w:top w:val="double" w:sz="4" w:space="0" w:color="auto"/>
              <w:bottom w:val="double" w:sz="4" w:space="0" w:color="auto"/>
              <w:right w:val="double" w:sz="4" w:space="0" w:color="auto"/>
            </w:tcBorders>
            <w:shd w:val="clear" w:color="auto" w:fill="FFFFFF"/>
            <w:vAlign w:val="center"/>
          </w:tcPr>
          <w:p w:rsidR="00224C1E" w:rsidRPr="00CF4C4E" w:rsidRDefault="00224C1E" w:rsidP="00CF4C4E">
            <w:pPr>
              <w:shd w:val="clear" w:color="auto" w:fill="FFFFFF"/>
              <w:rPr>
                <w:sz w:val="20"/>
                <w:szCs w:val="20"/>
                <w:lang w:val="en-GB"/>
              </w:rPr>
            </w:pPr>
            <w:r w:rsidRPr="00CF4C4E">
              <w:rPr>
                <w:sz w:val="20"/>
                <w:szCs w:val="20"/>
                <w:lang w:val="en-GB"/>
              </w:rPr>
              <w:t>At least largely compliant</w:t>
            </w:r>
          </w:p>
        </w:tc>
        <w:tc>
          <w:tcPr>
            <w:tcW w:w="503" w:type="pct"/>
            <w:tcBorders>
              <w:top w:val="double" w:sz="4" w:space="0" w:color="auto"/>
              <w:bottom w:val="double" w:sz="4" w:space="0" w:color="auto"/>
              <w:right w:val="double" w:sz="4" w:space="0" w:color="auto"/>
            </w:tcBorders>
            <w:shd w:val="clear" w:color="auto" w:fill="FFFFFF"/>
            <w:vAlign w:val="center"/>
          </w:tcPr>
          <w:p w:rsidR="00224C1E" w:rsidRPr="00CF4C4E" w:rsidRDefault="00224C1E" w:rsidP="00CF4C4E">
            <w:pPr>
              <w:shd w:val="clear" w:color="auto" w:fill="FFFFFF"/>
              <w:rPr>
                <w:sz w:val="20"/>
                <w:szCs w:val="20"/>
                <w:lang w:val="en-GB"/>
              </w:rPr>
            </w:pPr>
            <w:r w:rsidRPr="00CF4C4E">
              <w:rPr>
                <w:sz w:val="20"/>
                <w:szCs w:val="20"/>
                <w:lang w:val="en-GB"/>
              </w:rPr>
              <w:t>At least largely compliant</w:t>
            </w:r>
          </w:p>
        </w:tc>
      </w:tr>
      <w:tr w:rsidR="000A3B0D" w:rsidRPr="00CF4C4E" w:rsidTr="00F3347F">
        <w:trPr>
          <w:trHeight w:val="595"/>
        </w:trPr>
        <w:tc>
          <w:tcPr>
            <w:tcW w:w="1040" w:type="pct"/>
            <w:tcBorders>
              <w:top w:val="double" w:sz="4" w:space="0" w:color="auto"/>
              <w:bottom w:val="double" w:sz="4" w:space="0" w:color="auto"/>
            </w:tcBorders>
            <w:shd w:val="clear" w:color="auto" w:fill="FFFFFF"/>
            <w:vAlign w:val="center"/>
          </w:tcPr>
          <w:p w:rsidR="0003799E" w:rsidRPr="00CF4C4E" w:rsidRDefault="000A3B0D" w:rsidP="00CF4C4E">
            <w:pPr>
              <w:shd w:val="clear" w:color="auto" w:fill="FFFFFF"/>
              <w:rPr>
                <w:sz w:val="20"/>
                <w:szCs w:val="20"/>
                <w:lang w:val="en-GB"/>
              </w:rPr>
            </w:pPr>
            <w:r w:rsidRPr="00CF4C4E">
              <w:rPr>
                <w:sz w:val="20"/>
                <w:szCs w:val="20"/>
                <w:lang w:val="en-GB"/>
              </w:rPr>
              <w:t>Participation of non-profit organisations in relevant activities, annually</w:t>
            </w:r>
          </w:p>
        </w:tc>
        <w:tc>
          <w:tcPr>
            <w:tcW w:w="652" w:type="pct"/>
            <w:tcBorders>
              <w:top w:val="double" w:sz="4" w:space="0" w:color="auto"/>
              <w:bottom w:val="double" w:sz="4" w:space="0" w:color="auto"/>
            </w:tcBorders>
            <w:shd w:val="clear" w:color="auto" w:fill="FFFFFF"/>
            <w:vAlign w:val="center"/>
          </w:tcPr>
          <w:p w:rsidR="0003799E" w:rsidRPr="00CF4C4E" w:rsidRDefault="000A3B0D" w:rsidP="00CF4C4E">
            <w:pPr>
              <w:shd w:val="clear" w:color="auto" w:fill="FFFFFF"/>
              <w:rPr>
                <w:sz w:val="20"/>
                <w:szCs w:val="20"/>
                <w:lang w:val="en-GB"/>
              </w:rPr>
            </w:pPr>
            <w:r w:rsidRPr="00CF4C4E">
              <w:rPr>
                <w:sz w:val="20"/>
                <w:szCs w:val="20"/>
                <w:lang w:val="en-GB"/>
              </w:rPr>
              <w:t>Yes/No</w:t>
            </w:r>
          </w:p>
        </w:tc>
        <w:tc>
          <w:tcPr>
            <w:tcW w:w="951" w:type="pct"/>
            <w:gridSpan w:val="2"/>
            <w:tcBorders>
              <w:top w:val="double" w:sz="4" w:space="0" w:color="auto"/>
              <w:bottom w:val="double" w:sz="4" w:space="0" w:color="auto"/>
            </w:tcBorders>
            <w:shd w:val="clear" w:color="auto" w:fill="FFFFFF"/>
            <w:vAlign w:val="center"/>
          </w:tcPr>
          <w:p w:rsidR="0003799E" w:rsidRPr="00CF4C4E" w:rsidRDefault="0054380B" w:rsidP="00CF4C4E">
            <w:pPr>
              <w:shd w:val="clear" w:color="auto" w:fill="FFFFFF"/>
              <w:rPr>
                <w:sz w:val="20"/>
                <w:szCs w:val="20"/>
                <w:lang w:val="en-GB"/>
              </w:rPr>
            </w:pPr>
            <w:r w:rsidRPr="00CF4C4E">
              <w:rPr>
                <w:sz w:val="20"/>
                <w:szCs w:val="20"/>
                <w:lang w:val="en-GB"/>
              </w:rPr>
              <w:t>Reports on activities conducted and modalities of NPO participation</w:t>
            </w:r>
          </w:p>
        </w:tc>
        <w:tc>
          <w:tcPr>
            <w:tcW w:w="501" w:type="pct"/>
            <w:tcBorders>
              <w:top w:val="double" w:sz="4" w:space="0" w:color="auto"/>
              <w:bottom w:val="double" w:sz="4" w:space="0" w:color="auto"/>
            </w:tcBorders>
            <w:shd w:val="clear" w:color="auto" w:fill="FFFFFF"/>
            <w:vAlign w:val="center"/>
          </w:tcPr>
          <w:p w:rsidR="0003799E" w:rsidRPr="00CF4C4E" w:rsidRDefault="000A3B0D" w:rsidP="00CF4C4E">
            <w:pPr>
              <w:shd w:val="clear" w:color="auto" w:fill="FFFFFF"/>
              <w:rPr>
                <w:sz w:val="20"/>
                <w:szCs w:val="20"/>
                <w:lang w:val="en-GB"/>
              </w:rPr>
            </w:pPr>
            <w:r w:rsidRPr="00CF4C4E">
              <w:rPr>
                <w:sz w:val="20"/>
                <w:szCs w:val="20"/>
                <w:lang w:val="en-GB"/>
              </w:rPr>
              <w:t>Yes.</w:t>
            </w:r>
          </w:p>
        </w:tc>
        <w:tc>
          <w:tcPr>
            <w:tcW w:w="312" w:type="pct"/>
            <w:tcBorders>
              <w:top w:val="double" w:sz="4" w:space="0" w:color="auto"/>
              <w:bottom w:val="double" w:sz="4" w:space="0" w:color="auto"/>
            </w:tcBorders>
            <w:shd w:val="clear" w:color="auto" w:fill="FFFFFF"/>
            <w:vAlign w:val="center"/>
          </w:tcPr>
          <w:p w:rsidR="0003799E" w:rsidRPr="00CF4C4E" w:rsidRDefault="000A3B0D" w:rsidP="00CF4C4E">
            <w:pPr>
              <w:shd w:val="clear" w:color="auto" w:fill="FFFFFF"/>
              <w:rPr>
                <w:sz w:val="20"/>
                <w:szCs w:val="20"/>
                <w:lang w:val="en-GB"/>
              </w:rPr>
            </w:pPr>
            <w:r w:rsidRPr="00CF4C4E">
              <w:rPr>
                <w:sz w:val="20"/>
                <w:szCs w:val="20"/>
                <w:lang w:val="en-GB"/>
              </w:rPr>
              <w:t>2019</w:t>
            </w:r>
          </w:p>
        </w:tc>
        <w:tc>
          <w:tcPr>
            <w:tcW w:w="511" w:type="pct"/>
            <w:tcBorders>
              <w:top w:val="double" w:sz="4" w:space="0" w:color="auto"/>
              <w:bottom w:val="double" w:sz="4" w:space="0" w:color="auto"/>
            </w:tcBorders>
            <w:shd w:val="clear" w:color="auto" w:fill="FFFFFF"/>
            <w:vAlign w:val="center"/>
          </w:tcPr>
          <w:p w:rsidR="0003799E" w:rsidRPr="00CF4C4E" w:rsidRDefault="000A3B0D" w:rsidP="00CF4C4E">
            <w:pPr>
              <w:shd w:val="clear" w:color="auto" w:fill="FFFFFF"/>
              <w:rPr>
                <w:sz w:val="20"/>
                <w:szCs w:val="20"/>
                <w:lang w:val="en-GB"/>
              </w:rPr>
            </w:pPr>
            <w:r w:rsidRPr="00CF4C4E">
              <w:rPr>
                <w:sz w:val="20"/>
                <w:szCs w:val="20"/>
                <w:lang w:val="en-GB"/>
              </w:rPr>
              <w:t>Yes.</w:t>
            </w:r>
          </w:p>
        </w:tc>
        <w:tc>
          <w:tcPr>
            <w:tcW w:w="530" w:type="pct"/>
            <w:gridSpan w:val="2"/>
            <w:tcBorders>
              <w:top w:val="double" w:sz="4" w:space="0" w:color="auto"/>
              <w:bottom w:val="double" w:sz="4" w:space="0" w:color="auto"/>
              <w:right w:val="double" w:sz="4" w:space="0" w:color="auto"/>
            </w:tcBorders>
            <w:shd w:val="clear" w:color="auto" w:fill="FFFFFF"/>
            <w:vAlign w:val="center"/>
          </w:tcPr>
          <w:p w:rsidR="0003799E" w:rsidRPr="00CF4C4E" w:rsidRDefault="000A3B0D" w:rsidP="00CF4C4E">
            <w:pPr>
              <w:shd w:val="clear" w:color="auto" w:fill="FFFFFF"/>
              <w:rPr>
                <w:sz w:val="20"/>
                <w:szCs w:val="20"/>
                <w:lang w:val="en-GB"/>
              </w:rPr>
            </w:pPr>
            <w:r w:rsidRPr="00CF4C4E">
              <w:rPr>
                <w:sz w:val="20"/>
                <w:szCs w:val="20"/>
                <w:lang w:val="en-GB"/>
              </w:rPr>
              <w:t>Yes.</w:t>
            </w:r>
          </w:p>
        </w:tc>
        <w:tc>
          <w:tcPr>
            <w:tcW w:w="503" w:type="pct"/>
            <w:tcBorders>
              <w:top w:val="double" w:sz="4" w:space="0" w:color="auto"/>
              <w:bottom w:val="double" w:sz="4" w:space="0" w:color="auto"/>
              <w:right w:val="double" w:sz="4" w:space="0" w:color="auto"/>
            </w:tcBorders>
            <w:shd w:val="clear" w:color="auto" w:fill="FFFFFF"/>
            <w:vAlign w:val="center"/>
          </w:tcPr>
          <w:p w:rsidR="0003799E" w:rsidRPr="00CF4C4E" w:rsidRDefault="000A3B0D" w:rsidP="00CF4C4E">
            <w:pPr>
              <w:shd w:val="clear" w:color="auto" w:fill="FFFFFF"/>
              <w:rPr>
                <w:sz w:val="20"/>
                <w:szCs w:val="20"/>
                <w:lang w:val="en-GB"/>
              </w:rPr>
            </w:pPr>
            <w:r w:rsidRPr="00CF4C4E">
              <w:rPr>
                <w:sz w:val="20"/>
                <w:szCs w:val="20"/>
                <w:lang w:val="en-GB"/>
              </w:rPr>
              <w:t>Yes.</w:t>
            </w:r>
          </w:p>
        </w:tc>
      </w:tr>
    </w:tbl>
    <w:p w:rsidR="00FC4AE1" w:rsidRPr="00CF4C4E" w:rsidRDefault="00FC4AE1" w:rsidP="00CF4C4E">
      <w:pPr>
        <w:rPr>
          <w:sz w:val="20"/>
          <w:szCs w:val="20"/>
          <w:lang w:val="en-GB"/>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1"/>
        <w:gridCol w:w="1479"/>
        <w:gridCol w:w="1350"/>
        <w:gridCol w:w="1265"/>
        <w:gridCol w:w="1712"/>
        <w:gridCol w:w="1262"/>
        <w:gridCol w:w="1531"/>
        <w:gridCol w:w="1443"/>
        <w:gridCol w:w="1494"/>
      </w:tblGrid>
      <w:tr w:rsidR="00E81497" w:rsidRPr="00CF4C4E" w:rsidTr="00D53854">
        <w:trPr>
          <w:trHeight w:val="140"/>
          <w:tblHeader/>
        </w:trPr>
        <w:tc>
          <w:tcPr>
            <w:tcW w:w="923" w:type="pct"/>
            <w:vMerge w:val="restart"/>
            <w:tcBorders>
              <w:top w:val="double" w:sz="4" w:space="0" w:color="auto"/>
              <w:left w:val="double" w:sz="4" w:space="0" w:color="auto"/>
            </w:tcBorders>
            <w:shd w:val="clear" w:color="auto" w:fill="E5DFEC" w:themeFill="accent4" w:themeFillTint="33"/>
          </w:tcPr>
          <w:p w:rsidR="00E81497" w:rsidRPr="00CF4C4E" w:rsidRDefault="00E81497" w:rsidP="00CF4C4E">
            <w:pPr>
              <w:rPr>
                <w:b/>
                <w:sz w:val="20"/>
                <w:szCs w:val="20"/>
                <w:lang w:val="en-GB"/>
              </w:rPr>
            </w:pPr>
            <w:r w:rsidRPr="00CF4C4E">
              <w:rPr>
                <w:b/>
                <w:bCs/>
                <w:sz w:val="20"/>
                <w:szCs w:val="20"/>
                <w:lang w:val="en-GB"/>
              </w:rPr>
              <w:t>Activity title:</w:t>
            </w:r>
          </w:p>
        </w:tc>
        <w:tc>
          <w:tcPr>
            <w:tcW w:w="523" w:type="pct"/>
            <w:vMerge w:val="restart"/>
            <w:tcBorders>
              <w:top w:val="double" w:sz="4" w:space="0" w:color="auto"/>
            </w:tcBorders>
            <w:shd w:val="clear" w:color="auto" w:fill="E5DFEC" w:themeFill="accent4" w:themeFillTint="33"/>
          </w:tcPr>
          <w:p w:rsidR="00E81497" w:rsidRPr="00CF4C4E" w:rsidRDefault="00E81497" w:rsidP="00CF4C4E">
            <w:pPr>
              <w:rPr>
                <w:b/>
                <w:sz w:val="20"/>
                <w:szCs w:val="20"/>
                <w:lang w:val="en-GB"/>
              </w:rPr>
            </w:pPr>
            <w:r w:rsidRPr="00CF4C4E">
              <w:rPr>
                <w:b/>
                <w:bCs/>
                <w:sz w:val="20"/>
                <w:szCs w:val="20"/>
                <w:lang w:val="en-GB"/>
              </w:rPr>
              <w:t>Authority implementing the activity</w:t>
            </w:r>
          </w:p>
        </w:tc>
        <w:tc>
          <w:tcPr>
            <w:tcW w:w="477" w:type="pct"/>
            <w:vMerge w:val="restart"/>
            <w:tcBorders>
              <w:top w:val="double" w:sz="4" w:space="0" w:color="auto"/>
            </w:tcBorders>
            <w:shd w:val="clear" w:color="auto" w:fill="E5DFEC" w:themeFill="accent4" w:themeFillTint="33"/>
          </w:tcPr>
          <w:p w:rsidR="00E81497" w:rsidRPr="00CF4C4E" w:rsidRDefault="00E81497" w:rsidP="00CF4C4E">
            <w:pPr>
              <w:rPr>
                <w:b/>
                <w:sz w:val="20"/>
                <w:szCs w:val="20"/>
                <w:lang w:val="en-GB"/>
              </w:rPr>
            </w:pPr>
            <w:r w:rsidRPr="00CF4C4E">
              <w:rPr>
                <w:b/>
                <w:bCs/>
                <w:sz w:val="20"/>
                <w:szCs w:val="20"/>
                <w:lang w:val="en-GB"/>
              </w:rPr>
              <w:t>Partners in the implementation of the activity</w:t>
            </w:r>
          </w:p>
        </w:tc>
        <w:tc>
          <w:tcPr>
            <w:tcW w:w="447" w:type="pct"/>
            <w:vMerge w:val="restart"/>
            <w:tcBorders>
              <w:top w:val="double" w:sz="4" w:space="0" w:color="auto"/>
            </w:tcBorders>
            <w:shd w:val="clear" w:color="auto" w:fill="E5DFEC" w:themeFill="accent4" w:themeFillTint="33"/>
          </w:tcPr>
          <w:p w:rsidR="00E81497" w:rsidRPr="00CF4C4E" w:rsidRDefault="00E81497" w:rsidP="00CF4C4E">
            <w:pPr>
              <w:jc w:val="center"/>
              <w:rPr>
                <w:b/>
                <w:sz w:val="20"/>
                <w:szCs w:val="20"/>
                <w:lang w:val="en-GB"/>
              </w:rPr>
            </w:pPr>
            <w:r w:rsidRPr="00CF4C4E">
              <w:rPr>
                <w:b/>
                <w:bCs/>
                <w:sz w:val="20"/>
                <w:szCs w:val="20"/>
                <w:lang w:val="en-GB"/>
              </w:rPr>
              <w:t>Deadline for completion of activity</w:t>
            </w:r>
          </w:p>
        </w:tc>
        <w:tc>
          <w:tcPr>
            <w:tcW w:w="605" w:type="pct"/>
            <w:vMerge w:val="restart"/>
            <w:tcBorders>
              <w:top w:val="double" w:sz="4" w:space="0" w:color="auto"/>
            </w:tcBorders>
            <w:shd w:val="clear" w:color="auto" w:fill="E5DFEC" w:themeFill="accent4" w:themeFillTint="33"/>
          </w:tcPr>
          <w:p w:rsidR="00E81497" w:rsidRPr="00CF4C4E" w:rsidRDefault="00E81497" w:rsidP="00CF4C4E">
            <w:pPr>
              <w:jc w:val="center"/>
              <w:rPr>
                <w:b/>
                <w:sz w:val="20"/>
                <w:szCs w:val="20"/>
                <w:lang w:val="en-GB"/>
              </w:rPr>
            </w:pPr>
            <w:r w:rsidRPr="00CF4C4E">
              <w:rPr>
                <w:b/>
                <w:bCs/>
                <w:sz w:val="20"/>
                <w:szCs w:val="20"/>
                <w:lang w:val="en-GB"/>
              </w:rPr>
              <w:t>Source of financing</w:t>
            </w:r>
          </w:p>
        </w:tc>
        <w:tc>
          <w:tcPr>
            <w:tcW w:w="446" w:type="pct"/>
            <w:vMerge w:val="restart"/>
            <w:tcBorders>
              <w:top w:val="double" w:sz="4" w:space="0" w:color="auto"/>
            </w:tcBorders>
            <w:shd w:val="clear" w:color="auto" w:fill="E5DFEC" w:themeFill="accent4" w:themeFillTint="33"/>
          </w:tcPr>
          <w:p w:rsidR="00E81497" w:rsidRPr="00CF4C4E" w:rsidRDefault="00E81497" w:rsidP="00CF4C4E">
            <w:pPr>
              <w:rPr>
                <w:b/>
                <w:sz w:val="20"/>
                <w:szCs w:val="20"/>
                <w:lang w:val="en-GB"/>
              </w:rPr>
            </w:pPr>
            <w:r w:rsidRPr="00CF4C4E">
              <w:rPr>
                <w:b/>
                <w:bCs/>
                <w:sz w:val="20"/>
                <w:szCs w:val="20"/>
                <w:lang w:val="en-GB"/>
              </w:rPr>
              <w:t>Link to programme budget</w:t>
            </w:r>
          </w:p>
          <w:p w:rsidR="00E81497" w:rsidRPr="00CF4C4E" w:rsidRDefault="00E81497" w:rsidP="00CF4C4E">
            <w:pPr>
              <w:jc w:val="center"/>
              <w:rPr>
                <w:b/>
                <w:sz w:val="20"/>
                <w:szCs w:val="20"/>
                <w:lang w:val="en-GB"/>
              </w:rPr>
            </w:pPr>
          </w:p>
        </w:tc>
        <w:tc>
          <w:tcPr>
            <w:tcW w:w="1579" w:type="pct"/>
            <w:gridSpan w:val="3"/>
            <w:tcBorders>
              <w:top w:val="double" w:sz="4" w:space="0" w:color="auto"/>
            </w:tcBorders>
            <w:shd w:val="clear" w:color="auto" w:fill="E5DFEC" w:themeFill="accent4" w:themeFillTint="33"/>
          </w:tcPr>
          <w:p w:rsidR="00E81497" w:rsidRPr="00CF4C4E" w:rsidRDefault="00E81497" w:rsidP="00CF4C4E">
            <w:pPr>
              <w:jc w:val="center"/>
              <w:rPr>
                <w:b/>
                <w:sz w:val="20"/>
                <w:szCs w:val="20"/>
                <w:lang w:val="en-GB"/>
              </w:rPr>
            </w:pPr>
            <w:r w:rsidRPr="00CF4C4E">
              <w:rPr>
                <w:b/>
                <w:bCs/>
                <w:sz w:val="20"/>
                <w:szCs w:val="20"/>
                <w:lang w:val="en-GB"/>
              </w:rPr>
              <w:t>Total assessed financial resources by source in RSD 000</w:t>
            </w:r>
          </w:p>
        </w:tc>
      </w:tr>
      <w:tr w:rsidR="00876914" w:rsidRPr="00CF4C4E" w:rsidTr="00C11F8E">
        <w:trPr>
          <w:trHeight w:val="386"/>
          <w:tblHeader/>
        </w:trPr>
        <w:tc>
          <w:tcPr>
            <w:tcW w:w="923" w:type="pct"/>
            <w:vMerge/>
            <w:tcBorders>
              <w:left w:val="double" w:sz="4" w:space="0" w:color="auto"/>
            </w:tcBorders>
            <w:shd w:val="clear" w:color="auto" w:fill="E5DFEC" w:themeFill="accent4" w:themeFillTint="33"/>
          </w:tcPr>
          <w:p w:rsidR="00876914" w:rsidRPr="00CF4C4E" w:rsidRDefault="00876914" w:rsidP="00CF4C4E">
            <w:pPr>
              <w:rPr>
                <w:b/>
                <w:sz w:val="20"/>
                <w:szCs w:val="20"/>
                <w:lang w:val="en-GB"/>
              </w:rPr>
            </w:pPr>
          </w:p>
        </w:tc>
        <w:tc>
          <w:tcPr>
            <w:tcW w:w="523" w:type="pct"/>
            <w:vMerge/>
            <w:shd w:val="clear" w:color="auto" w:fill="E5DFEC" w:themeFill="accent4" w:themeFillTint="33"/>
          </w:tcPr>
          <w:p w:rsidR="00876914" w:rsidRPr="00CF4C4E" w:rsidRDefault="00876914" w:rsidP="00CF4C4E">
            <w:pPr>
              <w:rPr>
                <w:b/>
                <w:sz w:val="20"/>
                <w:szCs w:val="20"/>
                <w:lang w:val="en-GB"/>
              </w:rPr>
            </w:pPr>
          </w:p>
        </w:tc>
        <w:tc>
          <w:tcPr>
            <w:tcW w:w="477" w:type="pct"/>
            <w:vMerge/>
            <w:shd w:val="clear" w:color="auto" w:fill="E5DFEC" w:themeFill="accent4" w:themeFillTint="33"/>
          </w:tcPr>
          <w:p w:rsidR="00876914" w:rsidRPr="00CF4C4E" w:rsidRDefault="00876914" w:rsidP="00CF4C4E">
            <w:pPr>
              <w:rPr>
                <w:b/>
                <w:sz w:val="20"/>
                <w:szCs w:val="20"/>
                <w:lang w:val="en-GB"/>
              </w:rPr>
            </w:pPr>
          </w:p>
        </w:tc>
        <w:tc>
          <w:tcPr>
            <w:tcW w:w="447" w:type="pct"/>
            <w:vMerge/>
            <w:shd w:val="clear" w:color="auto" w:fill="E5DFEC" w:themeFill="accent4" w:themeFillTint="33"/>
          </w:tcPr>
          <w:p w:rsidR="00876914" w:rsidRPr="00CF4C4E" w:rsidRDefault="00876914" w:rsidP="00CF4C4E">
            <w:pPr>
              <w:jc w:val="center"/>
              <w:rPr>
                <w:b/>
                <w:sz w:val="20"/>
                <w:szCs w:val="20"/>
                <w:lang w:val="en-GB"/>
              </w:rPr>
            </w:pPr>
          </w:p>
        </w:tc>
        <w:tc>
          <w:tcPr>
            <w:tcW w:w="605" w:type="pct"/>
            <w:vMerge/>
            <w:shd w:val="clear" w:color="auto" w:fill="E5DFEC" w:themeFill="accent4" w:themeFillTint="33"/>
          </w:tcPr>
          <w:p w:rsidR="00876914" w:rsidRPr="00CF4C4E" w:rsidRDefault="00876914" w:rsidP="00CF4C4E">
            <w:pPr>
              <w:jc w:val="center"/>
              <w:rPr>
                <w:b/>
                <w:sz w:val="20"/>
                <w:szCs w:val="20"/>
                <w:lang w:val="en-GB"/>
              </w:rPr>
            </w:pPr>
          </w:p>
        </w:tc>
        <w:tc>
          <w:tcPr>
            <w:tcW w:w="446" w:type="pct"/>
            <w:vMerge/>
            <w:shd w:val="clear" w:color="auto" w:fill="E5DFEC" w:themeFill="accent4" w:themeFillTint="33"/>
          </w:tcPr>
          <w:p w:rsidR="00876914" w:rsidRPr="00CF4C4E" w:rsidRDefault="00876914" w:rsidP="00CF4C4E">
            <w:pPr>
              <w:jc w:val="center"/>
              <w:rPr>
                <w:b/>
                <w:sz w:val="20"/>
                <w:szCs w:val="20"/>
                <w:lang w:val="en-GB"/>
              </w:rPr>
            </w:pPr>
          </w:p>
        </w:tc>
        <w:tc>
          <w:tcPr>
            <w:tcW w:w="541" w:type="pct"/>
            <w:shd w:val="clear" w:color="auto" w:fill="E5DFEC" w:themeFill="accent4" w:themeFillTint="33"/>
          </w:tcPr>
          <w:p w:rsidR="00876914" w:rsidRPr="00CF4C4E" w:rsidRDefault="00876914" w:rsidP="00CF4C4E">
            <w:pPr>
              <w:jc w:val="center"/>
              <w:rPr>
                <w:b/>
                <w:sz w:val="20"/>
                <w:szCs w:val="20"/>
                <w:lang w:val="en-GB"/>
              </w:rPr>
            </w:pPr>
            <w:r w:rsidRPr="00CF4C4E">
              <w:rPr>
                <w:b/>
                <w:bCs/>
                <w:sz w:val="20"/>
                <w:szCs w:val="20"/>
                <w:lang w:val="en-GB"/>
              </w:rPr>
              <w:t>2020</w:t>
            </w:r>
          </w:p>
        </w:tc>
        <w:tc>
          <w:tcPr>
            <w:tcW w:w="510" w:type="pct"/>
            <w:shd w:val="clear" w:color="auto" w:fill="E5DFEC" w:themeFill="accent4" w:themeFillTint="33"/>
          </w:tcPr>
          <w:p w:rsidR="00876914" w:rsidRPr="00CF4C4E" w:rsidRDefault="00876914" w:rsidP="00CF4C4E">
            <w:pPr>
              <w:jc w:val="center"/>
              <w:rPr>
                <w:b/>
                <w:sz w:val="20"/>
                <w:szCs w:val="20"/>
                <w:lang w:val="en-GB"/>
              </w:rPr>
            </w:pPr>
            <w:r w:rsidRPr="00CF4C4E">
              <w:rPr>
                <w:b/>
                <w:bCs/>
                <w:sz w:val="20"/>
                <w:szCs w:val="20"/>
                <w:lang w:val="en-GB"/>
              </w:rPr>
              <w:t>2021</w:t>
            </w:r>
          </w:p>
        </w:tc>
        <w:tc>
          <w:tcPr>
            <w:tcW w:w="528" w:type="pct"/>
            <w:shd w:val="clear" w:color="auto" w:fill="E5DFEC" w:themeFill="accent4" w:themeFillTint="33"/>
          </w:tcPr>
          <w:p w:rsidR="00876914" w:rsidRPr="00CF4C4E" w:rsidRDefault="00876914" w:rsidP="00CF4C4E">
            <w:pPr>
              <w:jc w:val="center"/>
              <w:rPr>
                <w:b/>
                <w:sz w:val="20"/>
                <w:szCs w:val="20"/>
                <w:lang w:val="en-GB"/>
              </w:rPr>
            </w:pPr>
            <w:r w:rsidRPr="00CF4C4E">
              <w:rPr>
                <w:b/>
                <w:bCs/>
                <w:sz w:val="20"/>
                <w:szCs w:val="20"/>
                <w:lang w:val="en-GB"/>
              </w:rPr>
              <w:t>2022</w:t>
            </w:r>
          </w:p>
        </w:tc>
      </w:tr>
      <w:tr w:rsidR="009A6D0D" w:rsidRPr="00CF4C4E" w:rsidTr="001F1495">
        <w:trPr>
          <w:trHeight w:val="2401"/>
          <w:tblHeader/>
        </w:trPr>
        <w:tc>
          <w:tcPr>
            <w:tcW w:w="923" w:type="pct"/>
            <w:tcBorders>
              <w:left w:val="double" w:sz="4" w:space="0" w:color="auto"/>
            </w:tcBorders>
            <w:shd w:val="clear" w:color="auto" w:fill="auto"/>
          </w:tcPr>
          <w:p w:rsidR="009A6D0D" w:rsidRPr="00CF4C4E" w:rsidRDefault="009A6D0D" w:rsidP="00CF4C4E">
            <w:pPr>
              <w:rPr>
                <w:sz w:val="20"/>
                <w:szCs w:val="20"/>
                <w:lang w:val="en-GB"/>
              </w:rPr>
            </w:pPr>
            <w:r w:rsidRPr="00CF4C4E">
              <w:rPr>
                <w:sz w:val="20"/>
                <w:szCs w:val="20"/>
                <w:lang w:val="en-GB"/>
              </w:rPr>
              <w:t>4.3.1. Analyse legislation, in a participatory process, in relation to operation of competent authorities with respect to registration and de-registration, record-keeping, supervision and cooperation with non-profit organisations, and adjust it as appropriate;</w:t>
            </w:r>
          </w:p>
        </w:tc>
        <w:tc>
          <w:tcPr>
            <w:tcW w:w="523" w:type="pct"/>
            <w:shd w:val="clear" w:color="auto" w:fill="auto"/>
          </w:tcPr>
          <w:p w:rsidR="009A6D0D" w:rsidRPr="00CF4C4E" w:rsidRDefault="009A6D0D" w:rsidP="00CF4C4E">
            <w:pPr>
              <w:rPr>
                <w:sz w:val="20"/>
                <w:szCs w:val="20"/>
                <w:lang w:val="en-GB"/>
              </w:rPr>
            </w:pPr>
            <w:r w:rsidRPr="00CF4C4E">
              <w:rPr>
                <w:sz w:val="20"/>
                <w:szCs w:val="20"/>
                <w:lang w:val="en-GB"/>
              </w:rPr>
              <w:t>AML/CFT CB</w:t>
            </w:r>
          </w:p>
        </w:tc>
        <w:tc>
          <w:tcPr>
            <w:tcW w:w="477" w:type="pct"/>
            <w:shd w:val="clear" w:color="auto" w:fill="auto"/>
          </w:tcPr>
          <w:p w:rsidR="009A6D0D" w:rsidRPr="00CF4C4E" w:rsidRDefault="009A6D0D" w:rsidP="00CF4C4E">
            <w:pPr>
              <w:rPr>
                <w:sz w:val="20"/>
                <w:szCs w:val="20"/>
                <w:lang w:val="en-GB"/>
              </w:rPr>
            </w:pPr>
            <w:r w:rsidRPr="00CF4C4E">
              <w:rPr>
                <w:sz w:val="20"/>
                <w:szCs w:val="20"/>
                <w:lang w:val="en-GB"/>
              </w:rPr>
              <w:t>MPALSG, MCI, OCCS, MinEcon-SBRA, NGOWG, NPO sector,</w:t>
            </w:r>
          </w:p>
          <w:p w:rsidR="009A6D0D" w:rsidRPr="00CF4C4E" w:rsidRDefault="009A6D0D" w:rsidP="00CF4C4E">
            <w:pPr>
              <w:rPr>
                <w:sz w:val="20"/>
                <w:szCs w:val="20"/>
                <w:lang w:val="en-GB"/>
              </w:rPr>
            </w:pPr>
            <w:r w:rsidRPr="00CF4C4E">
              <w:rPr>
                <w:sz w:val="20"/>
                <w:szCs w:val="20"/>
                <w:lang w:val="en-GB"/>
              </w:rPr>
              <w:t>APML</w:t>
            </w:r>
          </w:p>
        </w:tc>
        <w:tc>
          <w:tcPr>
            <w:tcW w:w="447" w:type="pct"/>
            <w:shd w:val="clear" w:color="auto" w:fill="auto"/>
          </w:tcPr>
          <w:p w:rsidR="009A6D0D" w:rsidRPr="00CF4C4E" w:rsidRDefault="009A6D0D" w:rsidP="00CF4C4E">
            <w:pPr>
              <w:rPr>
                <w:sz w:val="20"/>
                <w:szCs w:val="20"/>
                <w:lang w:val="en-GB"/>
              </w:rPr>
            </w:pPr>
            <w:r w:rsidRPr="00CF4C4E">
              <w:rPr>
                <w:sz w:val="20"/>
                <w:szCs w:val="20"/>
                <w:lang w:val="en-GB"/>
              </w:rPr>
              <w:t>Analysis of legislation: IV quarter of 2021; Adjustments in accordance with the analysis: IV quarter of 2022</w:t>
            </w:r>
          </w:p>
        </w:tc>
        <w:tc>
          <w:tcPr>
            <w:tcW w:w="605" w:type="pct"/>
            <w:shd w:val="clear" w:color="auto" w:fill="auto"/>
          </w:tcPr>
          <w:p w:rsidR="009A6D0D" w:rsidRPr="00CF4C4E" w:rsidRDefault="009A6D0D" w:rsidP="00CF4C4E">
            <w:pPr>
              <w:rPr>
                <w:sz w:val="20"/>
                <w:szCs w:val="20"/>
                <w:lang w:val="en-GB"/>
              </w:rPr>
            </w:pPr>
            <w:r w:rsidRPr="00CF4C4E">
              <w:rPr>
                <w:sz w:val="20"/>
                <w:szCs w:val="20"/>
                <w:lang w:val="en-GB"/>
              </w:rPr>
              <w:t>Financed as part of regular activities of staff</w:t>
            </w:r>
          </w:p>
          <w:p w:rsidR="009A6D0D" w:rsidRPr="00CF4C4E" w:rsidRDefault="009A6D0D" w:rsidP="00CF4C4E">
            <w:pPr>
              <w:rPr>
                <w:sz w:val="20"/>
                <w:szCs w:val="20"/>
                <w:lang w:val="en-GB"/>
              </w:rPr>
            </w:pPr>
          </w:p>
          <w:p w:rsidR="009A6D0D" w:rsidRPr="00CF4C4E" w:rsidRDefault="009A6D0D" w:rsidP="00CF4C4E">
            <w:pPr>
              <w:pStyle w:val="basic-paragraph"/>
              <w:spacing w:before="0" w:beforeAutospacing="0" w:after="0" w:afterAutospacing="0"/>
              <w:rPr>
                <w:sz w:val="20"/>
                <w:szCs w:val="20"/>
                <w:lang w:val="en-GB"/>
              </w:rPr>
            </w:pPr>
            <w:r w:rsidRPr="00CF4C4E">
              <w:rPr>
                <w:sz w:val="20"/>
                <w:szCs w:val="20"/>
                <w:lang w:val="en-GB"/>
              </w:rPr>
              <w:t>International donor funds</w:t>
            </w:r>
          </w:p>
        </w:tc>
        <w:tc>
          <w:tcPr>
            <w:tcW w:w="446" w:type="pct"/>
            <w:shd w:val="clear" w:color="auto" w:fill="auto"/>
          </w:tcPr>
          <w:p w:rsidR="009A6D0D" w:rsidRPr="00CF4C4E" w:rsidRDefault="009A6D0D" w:rsidP="00CF4C4E">
            <w:pPr>
              <w:rPr>
                <w:sz w:val="20"/>
                <w:szCs w:val="20"/>
                <w:lang w:val="en-GB"/>
              </w:rPr>
            </w:pPr>
          </w:p>
        </w:tc>
        <w:tc>
          <w:tcPr>
            <w:tcW w:w="541" w:type="pct"/>
            <w:shd w:val="clear" w:color="auto" w:fill="auto"/>
          </w:tcPr>
          <w:p w:rsidR="009A6D0D" w:rsidRPr="00CF4C4E" w:rsidRDefault="009A6D0D" w:rsidP="00CF4C4E">
            <w:pPr>
              <w:rPr>
                <w:sz w:val="20"/>
                <w:szCs w:val="20"/>
                <w:lang w:val="en-GB"/>
              </w:rPr>
            </w:pPr>
          </w:p>
        </w:tc>
        <w:tc>
          <w:tcPr>
            <w:tcW w:w="510" w:type="pct"/>
            <w:shd w:val="clear" w:color="auto" w:fill="auto"/>
          </w:tcPr>
          <w:p w:rsidR="009A6D0D" w:rsidRPr="00CF4C4E" w:rsidRDefault="009A6D0D" w:rsidP="00CF4C4E">
            <w:pPr>
              <w:rPr>
                <w:sz w:val="20"/>
                <w:szCs w:val="20"/>
                <w:lang w:val="en-GB"/>
              </w:rPr>
            </w:pPr>
          </w:p>
        </w:tc>
        <w:tc>
          <w:tcPr>
            <w:tcW w:w="528" w:type="pct"/>
            <w:shd w:val="clear" w:color="auto" w:fill="auto"/>
          </w:tcPr>
          <w:p w:rsidR="009A6D0D" w:rsidRPr="00CF4C4E" w:rsidRDefault="009A6D0D" w:rsidP="00CF4C4E">
            <w:pPr>
              <w:rPr>
                <w:sz w:val="20"/>
                <w:szCs w:val="20"/>
                <w:lang w:val="en-GB"/>
              </w:rPr>
            </w:pPr>
          </w:p>
        </w:tc>
      </w:tr>
      <w:tr w:rsidR="009A6D0D" w:rsidRPr="00CF4C4E" w:rsidTr="00C11F8E">
        <w:trPr>
          <w:trHeight w:val="140"/>
          <w:tblHeader/>
        </w:trPr>
        <w:tc>
          <w:tcPr>
            <w:tcW w:w="923" w:type="pct"/>
            <w:tcBorders>
              <w:left w:val="double" w:sz="4" w:space="0" w:color="auto"/>
            </w:tcBorders>
            <w:shd w:val="clear" w:color="auto" w:fill="auto"/>
          </w:tcPr>
          <w:p w:rsidR="009A6D0D" w:rsidRPr="00CF4C4E" w:rsidRDefault="009A6D0D" w:rsidP="00CF4C4E">
            <w:pPr>
              <w:rPr>
                <w:sz w:val="20"/>
                <w:szCs w:val="20"/>
                <w:lang w:val="en-GB"/>
              </w:rPr>
            </w:pPr>
            <w:r w:rsidRPr="00CF4C4E">
              <w:rPr>
                <w:sz w:val="20"/>
                <w:szCs w:val="20"/>
                <w:lang w:val="en-GB"/>
              </w:rPr>
              <w:t>4.3.2 Conduct an update, in a participatory process, of the analysis of the non-profit sector from the point of view of vulnerability to terrorism financing;</w:t>
            </w:r>
          </w:p>
        </w:tc>
        <w:tc>
          <w:tcPr>
            <w:tcW w:w="523" w:type="pct"/>
            <w:shd w:val="clear" w:color="auto" w:fill="auto"/>
          </w:tcPr>
          <w:p w:rsidR="009A6D0D" w:rsidRPr="00CF4C4E" w:rsidRDefault="009A6D0D" w:rsidP="00CF4C4E">
            <w:pPr>
              <w:rPr>
                <w:sz w:val="20"/>
                <w:szCs w:val="20"/>
                <w:lang w:val="en-GB"/>
              </w:rPr>
            </w:pPr>
            <w:r w:rsidRPr="00CF4C4E">
              <w:rPr>
                <w:sz w:val="20"/>
                <w:szCs w:val="20"/>
                <w:lang w:val="en-GB"/>
              </w:rPr>
              <w:t>AML/CFT CB</w:t>
            </w:r>
          </w:p>
        </w:tc>
        <w:tc>
          <w:tcPr>
            <w:tcW w:w="477" w:type="pct"/>
            <w:shd w:val="clear" w:color="auto" w:fill="auto"/>
          </w:tcPr>
          <w:p w:rsidR="009A6D0D" w:rsidRPr="00CF4C4E" w:rsidRDefault="009A6D0D" w:rsidP="00CF4C4E">
            <w:pPr>
              <w:rPr>
                <w:sz w:val="20"/>
                <w:szCs w:val="20"/>
                <w:lang w:val="en-GB"/>
              </w:rPr>
            </w:pPr>
            <w:r w:rsidRPr="00CF4C4E">
              <w:rPr>
                <w:sz w:val="20"/>
                <w:szCs w:val="20"/>
                <w:lang w:val="en-GB"/>
              </w:rPr>
              <w:t>MPALSG, MCI, MoF, SBRA, OCCS, NPOWG, NCT, NPO sector,</w:t>
            </w:r>
          </w:p>
        </w:tc>
        <w:tc>
          <w:tcPr>
            <w:tcW w:w="447" w:type="pct"/>
            <w:shd w:val="clear" w:color="auto" w:fill="auto"/>
          </w:tcPr>
          <w:p w:rsidR="009A6D0D" w:rsidRPr="00CF4C4E" w:rsidRDefault="009A6D0D" w:rsidP="00CF4C4E">
            <w:pPr>
              <w:rPr>
                <w:sz w:val="20"/>
                <w:szCs w:val="20"/>
                <w:lang w:val="en-GB"/>
              </w:rPr>
            </w:pPr>
            <w:r w:rsidRPr="00CF4C4E">
              <w:rPr>
                <w:sz w:val="20"/>
                <w:szCs w:val="20"/>
                <w:lang w:val="en-GB"/>
              </w:rPr>
              <w:t>IV quarter of 2020</w:t>
            </w:r>
          </w:p>
        </w:tc>
        <w:tc>
          <w:tcPr>
            <w:tcW w:w="605" w:type="pct"/>
            <w:shd w:val="clear" w:color="auto" w:fill="auto"/>
          </w:tcPr>
          <w:p w:rsidR="009A6D0D" w:rsidRPr="00CF4C4E" w:rsidRDefault="009A6D0D" w:rsidP="00CF4C4E">
            <w:pPr>
              <w:rPr>
                <w:sz w:val="20"/>
                <w:szCs w:val="20"/>
                <w:lang w:val="en-GB"/>
              </w:rPr>
            </w:pPr>
            <w:r w:rsidRPr="00CF4C4E">
              <w:rPr>
                <w:sz w:val="20"/>
                <w:szCs w:val="20"/>
                <w:lang w:val="en-GB"/>
              </w:rPr>
              <w:t>Financed as part of regular activities of staff</w:t>
            </w:r>
          </w:p>
          <w:p w:rsidR="009A6D0D" w:rsidRPr="00CF4C4E" w:rsidRDefault="009A6D0D" w:rsidP="00CF4C4E">
            <w:pPr>
              <w:rPr>
                <w:sz w:val="20"/>
                <w:szCs w:val="20"/>
                <w:lang w:val="en-GB"/>
              </w:rPr>
            </w:pPr>
          </w:p>
          <w:p w:rsidR="009A6D0D" w:rsidRPr="00CF4C4E" w:rsidRDefault="009A6D0D" w:rsidP="00CF4C4E">
            <w:pPr>
              <w:rPr>
                <w:sz w:val="20"/>
                <w:szCs w:val="20"/>
                <w:highlight w:val="yellow"/>
                <w:lang w:val="en-GB"/>
              </w:rPr>
            </w:pPr>
            <w:r w:rsidRPr="00CF4C4E">
              <w:rPr>
                <w:sz w:val="20"/>
                <w:szCs w:val="20"/>
                <w:lang w:val="en-GB"/>
              </w:rPr>
              <w:t>Domestic and international donor funds</w:t>
            </w:r>
          </w:p>
        </w:tc>
        <w:tc>
          <w:tcPr>
            <w:tcW w:w="446" w:type="pct"/>
            <w:shd w:val="clear" w:color="auto" w:fill="auto"/>
          </w:tcPr>
          <w:p w:rsidR="009A6D0D" w:rsidRPr="00CF4C4E" w:rsidRDefault="009A6D0D" w:rsidP="00CF4C4E">
            <w:pPr>
              <w:rPr>
                <w:sz w:val="20"/>
                <w:szCs w:val="20"/>
                <w:lang w:val="en-GB"/>
              </w:rPr>
            </w:pPr>
          </w:p>
        </w:tc>
        <w:tc>
          <w:tcPr>
            <w:tcW w:w="541" w:type="pct"/>
            <w:shd w:val="clear" w:color="auto" w:fill="auto"/>
          </w:tcPr>
          <w:p w:rsidR="009A6D0D" w:rsidRPr="00CF4C4E" w:rsidRDefault="009A6D0D" w:rsidP="00CF4C4E">
            <w:pPr>
              <w:rPr>
                <w:sz w:val="20"/>
                <w:szCs w:val="20"/>
                <w:lang w:val="en-GB"/>
              </w:rPr>
            </w:pPr>
          </w:p>
        </w:tc>
        <w:tc>
          <w:tcPr>
            <w:tcW w:w="510" w:type="pct"/>
            <w:shd w:val="clear" w:color="auto" w:fill="auto"/>
          </w:tcPr>
          <w:p w:rsidR="009A6D0D" w:rsidRPr="00CF4C4E" w:rsidRDefault="009A6D0D" w:rsidP="00CF4C4E">
            <w:pPr>
              <w:rPr>
                <w:sz w:val="20"/>
                <w:szCs w:val="20"/>
                <w:lang w:val="en-GB"/>
              </w:rPr>
            </w:pPr>
          </w:p>
        </w:tc>
        <w:tc>
          <w:tcPr>
            <w:tcW w:w="528" w:type="pct"/>
            <w:shd w:val="clear" w:color="auto" w:fill="auto"/>
          </w:tcPr>
          <w:p w:rsidR="009A6D0D" w:rsidRPr="00CF4C4E" w:rsidRDefault="009A6D0D" w:rsidP="00CF4C4E">
            <w:pPr>
              <w:rPr>
                <w:sz w:val="20"/>
                <w:szCs w:val="20"/>
                <w:lang w:val="en-GB"/>
              </w:rPr>
            </w:pPr>
          </w:p>
        </w:tc>
      </w:tr>
      <w:tr w:rsidR="009A6D0D" w:rsidRPr="00CF4C4E" w:rsidTr="00CB13E8">
        <w:trPr>
          <w:trHeight w:val="1884"/>
          <w:tblHeader/>
        </w:trPr>
        <w:tc>
          <w:tcPr>
            <w:tcW w:w="923" w:type="pct"/>
            <w:tcBorders>
              <w:left w:val="double" w:sz="4" w:space="0" w:color="auto"/>
            </w:tcBorders>
            <w:shd w:val="clear" w:color="auto" w:fill="auto"/>
          </w:tcPr>
          <w:p w:rsidR="009A6D0D" w:rsidRPr="00CF4C4E" w:rsidDel="004B2CB5" w:rsidRDefault="009A6D0D" w:rsidP="00CF4C4E">
            <w:pPr>
              <w:rPr>
                <w:sz w:val="20"/>
                <w:szCs w:val="20"/>
                <w:lang w:val="en-GB"/>
              </w:rPr>
            </w:pPr>
            <w:r w:rsidRPr="00CF4C4E">
              <w:rPr>
                <w:sz w:val="20"/>
                <w:szCs w:val="20"/>
                <w:lang w:val="en-GB"/>
              </w:rPr>
              <w:lastRenderedPageBreak/>
              <w:t xml:space="preserve">4.3.3 Continue conducting supervision of NPOs, analyse results of the supervision conducted and make statistical reports on the examinations conducted; </w:t>
            </w:r>
          </w:p>
        </w:tc>
        <w:tc>
          <w:tcPr>
            <w:tcW w:w="523" w:type="pct"/>
            <w:shd w:val="clear" w:color="auto" w:fill="auto"/>
          </w:tcPr>
          <w:p w:rsidR="009A6D0D" w:rsidRPr="00CF4C4E" w:rsidRDefault="00294720" w:rsidP="00CF4C4E">
            <w:pPr>
              <w:rPr>
                <w:sz w:val="20"/>
                <w:szCs w:val="20"/>
                <w:lang w:val="en-GB"/>
              </w:rPr>
            </w:pPr>
            <w:r w:rsidRPr="00CF4C4E">
              <w:rPr>
                <w:sz w:val="20"/>
                <w:szCs w:val="20"/>
                <w:lang w:val="en-GB"/>
              </w:rPr>
              <w:t>CCIO</w:t>
            </w:r>
          </w:p>
        </w:tc>
        <w:tc>
          <w:tcPr>
            <w:tcW w:w="477" w:type="pct"/>
            <w:shd w:val="clear" w:color="auto" w:fill="auto"/>
          </w:tcPr>
          <w:p w:rsidR="009A6D0D" w:rsidRPr="00CF4C4E" w:rsidRDefault="00294720" w:rsidP="00CF4C4E">
            <w:pPr>
              <w:rPr>
                <w:sz w:val="20"/>
                <w:szCs w:val="20"/>
                <w:lang w:val="en-GB"/>
              </w:rPr>
            </w:pPr>
            <w:r w:rsidRPr="00CF4C4E">
              <w:rPr>
                <w:sz w:val="20"/>
                <w:szCs w:val="20"/>
                <w:lang w:val="en-GB"/>
              </w:rPr>
              <w:t>NPOWG, MCI</w:t>
            </w:r>
          </w:p>
        </w:tc>
        <w:tc>
          <w:tcPr>
            <w:tcW w:w="447" w:type="pct"/>
            <w:shd w:val="clear" w:color="auto" w:fill="auto"/>
          </w:tcPr>
          <w:p w:rsidR="009A6D0D" w:rsidRPr="00CF4C4E" w:rsidRDefault="009A6D0D" w:rsidP="00CF4C4E">
            <w:pPr>
              <w:rPr>
                <w:sz w:val="20"/>
                <w:szCs w:val="20"/>
                <w:lang w:val="en-GB"/>
              </w:rPr>
            </w:pPr>
            <w:r w:rsidRPr="00CF4C4E">
              <w:rPr>
                <w:sz w:val="20"/>
                <w:szCs w:val="20"/>
                <w:lang w:val="en-GB"/>
              </w:rPr>
              <w:t>IV quarter of 2022</w:t>
            </w:r>
          </w:p>
        </w:tc>
        <w:tc>
          <w:tcPr>
            <w:tcW w:w="605" w:type="pct"/>
            <w:shd w:val="clear" w:color="auto" w:fill="auto"/>
          </w:tcPr>
          <w:p w:rsidR="009A6D0D" w:rsidRPr="00CF4C4E" w:rsidRDefault="009A6D0D" w:rsidP="00CF4C4E">
            <w:pPr>
              <w:rPr>
                <w:sz w:val="20"/>
                <w:szCs w:val="20"/>
                <w:lang w:val="en-GB"/>
              </w:rPr>
            </w:pPr>
            <w:r w:rsidRPr="00CF4C4E">
              <w:rPr>
                <w:sz w:val="20"/>
                <w:szCs w:val="20"/>
                <w:lang w:val="en-GB"/>
              </w:rPr>
              <w:t>Financed as part of regular activities of staff</w:t>
            </w:r>
          </w:p>
          <w:p w:rsidR="009A6D0D" w:rsidRPr="00CF4C4E" w:rsidRDefault="009A6D0D" w:rsidP="00CF4C4E">
            <w:pPr>
              <w:rPr>
                <w:sz w:val="20"/>
                <w:szCs w:val="20"/>
                <w:lang w:val="en-GB"/>
              </w:rPr>
            </w:pPr>
          </w:p>
          <w:p w:rsidR="009A6D0D" w:rsidRPr="00CF4C4E" w:rsidRDefault="009A6D0D" w:rsidP="00CF4C4E">
            <w:pPr>
              <w:rPr>
                <w:sz w:val="20"/>
                <w:szCs w:val="20"/>
                <w:highlight w:val="yellow"/>
                <w:lang w:val="en-GB"/>
              </w:rPr>
            </w:pPr>
          </w:p>
        </w:tc>
        <w:tc>
          <w:tcPr>
            <w:tcW w:w="446" w:type="pct"/>
            <w:shd w:val="clear" w:color="auto" w:fill="auto"/>
          </w:tcPr>
          <w:p w:rsidR="009A6D0D" w:rsidRPr="00CF4C4E" w:rsidRDefault="009A6D0D" w:rsidP="00CF4C4E">
            <w:pPr>
              <w:rPr>
                <w:sz w:val="20"/>
                <w:szCs w:val="20"/>
                <w:lang w:val="en-GB"/>
              </w:rPr>
            </w:pPr>
          </w:p>
        </w:tc>
        <w:tc>
          <w:tcPr>
            <w:tcW w:w="541" w:type="pct"/>
            <w:shd w:val="clear" w:color="auto" w:fill="auto"/>
          </w:tcPr>
          <w:p w:rsidR="009A6D0D" w:rsidRPr="00CF4C4E" w:rsidRDefault="009A6D0D" w:rsidP="00CF4C4E">
            <w:pPr>
              <w:rPr>
                <w:sz w:val="20"/>
                <w:szCs w:val="20"/>
                <w:lang w:val="en-GB"/>
              </w:rPr>
            </w:pPr>
          </w:p>
        </w:tc>
        <w:tc>
          <w:tcPr>
            <w:tcW w:w="510" w:type="pct"/>
            <w:shd w:val="clear" w:color="auto" w:fill="auto"/>
          </w:tcPr>
          <w:p w:rsidR="009A6D0D" w:rsidRPr="00CF4C4E" w:rsidRDefault="009A6D0D" w:rsidP="00CF4C4E">
            <w:pPr>
              <w:rPr>
                <w:sz w:val="20"/>
                <w:szCs w:val="20"/>
                <w:lang w:val="en-GB"/>
              </w:rPr>
            </w:pPr>
          </w:p>
        </w:tc>
        <w:tc>
          <w:tcPr>
            <w:tcW w:w="528" w:type="pct"/>
            <w:shd w:val="clear" w:color="auto" w:fill="auto"/>
          </w:tcPr>
          <w:p w:rsidR="009A6D0D" w:rsidRPr="00CF4C4E" w:rsidRDefault="009A6D0D" w:rsidP="00CF4C4E">
            <w:pPr>
              <w:rPr>
                <w:sz w:val="20"/>
                <w:szCs w:val="20"/>
                <w:lang w:val="en-GB"/>
              </w:rPr>
            </w:pPr>
          </w:p>
        </w:tc>
      </w:tr>
      <w:tr w:rsidR="009A6D0D" w:rsidRPr="00CF4C4E" w:rsidTr="00C11F8E">
        <w:trPr>
          <w:trHeight w:val="140"/>
          <w:tblHeader/>
        </w:trPr>
        <w:tc>
          <w:tcPr>
            <w:tcW w:w="923" w:type="pct"/>
            <w:tcBorders>
              <w:left w:val="double" w:sz="4" w:space="0" w:color="auto"/>
            </w:tcBorders>
            <w:shd w:val="clear" w:color="auto" w:fill="auto"/>
          </w:tcPr>
          <w:p w:rsidR="009A6D0D" w:rsidRPr="00CF4C4E" w:rsidRDefault="009A6D0D" w:rsidP="00CF4C4E">
            <w:pPr>
              <w:rPr>
                <w:sz w:val="20"/>
                <w:szCs w:val="20"/>
                <w:lang w:val="en-GB"/>
              </w:rPr>
            </w:pPr>
            <w:r w:rsidRPr="00CF4C4E">
              <w:rPr>
                <w:sz w:val="20"/>
                <w:szCs w:val="20"/>
                <w:lang w:val="en-GB"/>
              </w:rPr>
              <w:t xml:space="preserve">4.3.4 Update criteria and procedures for conducting supervision of NPOs (risk matrix) </w:t>
            </w:r>
          </w:p>
        </w:tc>
        <w:tc>
          <w:tcPr>
            <w:tcW w:w="523" w:type="pct"/>
            <w:shd w:val="clear" w:color="auto" w:fill="auto"/>
          </w:tcPr>
          <w:p w:rsidR="009A6D0D" w:rsidRPr="00CF4C4E" w:rsidRDefault="00294720" w:rsidP="00CF4C4E">
            <w:pPr>
              <w:rPr>
                <w:sz w:val="20"/>
                <w:szCs w:val="20"/>
                <w:lang w:val="en-GB"/>
              </w:rPr>
            </w:pPr>
            <w:r w:rsidRPr="00CF4C4E">
              <w:rPr>
                <w:sz w:val="20"/>
                <w:szCs w:val="20"/>
                <w:lang w:val="en-GB"/>
              </w:rPr>
              <w:t>CCIO</w:t>
            </w:r>
          </w:p>
        </w:tc>
        <w:tc>
          <w:tcPr>
            <w:tcW w:w="477" w:type="pct"/>
            <w:shd w:val="clear" w:color="auto" w:fill="auto"/>
          </w:tcPr>
          <w:p w:rsidR="009A6D0D" w:rsidRPr="00CF4C4E" w:rsidRDefault="00294720" w:rsidP="00CF4C4E">
            <w:pPr>
              <w:rPr>
                <w:sz w:val="20"/>
                <w:szCs w:val="20"/>
                <w:lang w:val="en-GB"/>
              </w:rPr>
            </w:pPr>
            <w:r w:rsidRPr="00CF4C4E">
              <w:rPr>
                <w:sz w:val="20"/>
                <w:szCs w:val="20"/>
                <w:lang w:val="en-GB"/>
              </w:rPr>
              <w:t>NPOWG</w:t>
            </w:r>
          </w:p>
        </w:tc>
        <w:tc>
          <w:tcPr>
            <w:tcW w:w="447" w:type="pct"/>
            <w:shd w:val="clear" w:color="auto" w:fill="auto"/>
          </w:tcPr>
          <w:p w:rsidR="009A6D0D" w:rsidRPr="00CF4C4E" w:rsidRDefault="009A6D0D" w:rsidP="00CF4C4E">
            <w:pPr>
              <w:rPr>
                <w:sz w:val="20"/>
                <w:szCs w:val="20"/>
                <w:lang w:val="en-GB"/>
              </w:rPr>
            </w:pPr>
            <w:r w:rsidRPr="00CF4C4E">
              <w:rPr>
                <w:sz w:val="20"/>
                <w:szCs w:val="20"/>
                <w:lang w:val="en-GB"/>
              </w:rPr>
              <w:t>IV quarter of 2022</w:t>
            </w:r>
          </w:p>
        </w:tc>
        <w:tc>
          <w:tcPr>
            <w:tcW w:w="605" w:type="pct"/>
            <w:shd w:val="clear" w:color="auto" w:fill="auto"/>
          </w:tcPr>
          <w:p w:rsidR="009A6D0D" w:rsidRPr="00CF4C4E" w:rsidRDefault="009A6D0D" w:rsidP="00CF4C4E">
            <w:pPr>
              <w:rPr>
                <w:sz w:val="20"/>
                <w:szCs w:val="20"/>
                <w:highlight w:val="yellow"/>
                <w:lang w:val="en-GB"/>
              </w:rPr>
            </w:pPr>
          </w:p>
        </w:tc>
        <w:tc>
          <w:tcPr>
            <w:tcW w:w="446" w:type="pct"/>
            <w:shd w:val="clear" w:color="auto" w:fill="auto"/>
          </w:tcPr>
          <w:p w:rsidR="009A6D0D" w:rsidRPr="00CF4C4E" w:rsidRDefault="009A6D0D" w:rsidP="00CF4C4E">
            <w:pPr>
              <w:rPr>
                <w:sz w:val="20"/>
                <w:szCs w:val="20"/>
                <w:lang w:val="en-GB"/>
              </w:rPr>
            </w:pPr>
          </w:p>
        </w:tc>
        <w:tc>
          <w:tcPr>
            <w:tcW w:w="541" w:type="pct"/>
            <w:shd w:val="clear" w:color="auto" w:fill="auto"/>
          </w:tcPr>
          <w:p w:rsidR="009A6D0D" w:rsidRPr="00CF4C4E" w:rsidRDefault="009A6D0D" w:rsidP="00CF4C4E">
            <w:pPr>
              <w:rPr>
                <w:sz w:val="20"/>
                <w:szCs w:val="20"/>
                <w:lang w:val="en-GB"/>
              </w:rPr>
            </w:pPr>
          </w:p>
        </w:tc>
        <w:tc>
          <w:tcPr>
            <w:tcW w:w="510" w:type="pct"/>
            <w:shd w:val="clear" w:color="auto" w:fill="auto"/>
          </w:tcPr>
          <w:p w:rsidR="009A6D0D" w:rsidRPr="00CF4C4E" w:rsidRDefault="009A6D0D" w:rsidP="00CF4C4E">
            <w:pPr>
              <w:rPr>
                <w:sz w:val="20"/>
                <w:szCs w:val="20"/>
                <w:lang w:val="en-GB"/>
              </w:rPr>
            </w:pPr>
          </w:p>
        </w:tc>
        <w:tc>
          <w:tcPr>
            <w:tcW w:w="528" w:type="pct"/>
            <w:shd w:val="clear" w:color="auto" w:fill="auto"/>
          </w:tcPr>
          <w:p w:rsidR="009A6D0D" w:rsidRPr="00CF4C4E" w:rsidRDefault="009A6D0D" w:rsidP="00CF4C4E">
            <w:pPr>
              <w:rPr>
                <w:sz w:val="20"/>
                <w:szCs w:val="20"/>
                <w:lang w:val="en-GB"/>
              </w:rPr>
            </w:pPr>
          </w:p>
        </w:tc>
      </w:tr>
      <w:tr w:rsidR="009A6D0D" w:rsidRPr="00CF4C4E" w:rsidTr="00C11F8E">
        <w:trPr>
          <w:trHeight w:val="140"/>
          <w:tblHeader/>
        </w:trPr>
        <w:tc>
          <w:tcPr>
            <w:tcW w:w="923" w:type="pct"/>
            <w:tcBorders>
              <w:left w:val="double" w:sz="4" w:space="0" w:color="auto"/>
            </w:tcBorders>
            <w:shd w:val="clear" w:color="auto" w:fill="auto"/>
          </w:tcPr>
          <w:p w:rsidR="009A6D0D" w:rsidRPr="00CF4C4E" w:rsidRDefault="009A6D0D" w:rsidP="00CF4C4E">
            <w:pPr>
              <w:rPr>
                <w:sz w:val="20"/>
                <w:szCs w:val="20"/>
                <w:lang w:val="en-GB"/>
              </w:rPr>
            </w:pPr>
            <w:r w:rsidRPr="00CF4C4E">
              <w:rPr>
                <w:sz w:val="20"/>
                <w:szCs w:val="20"/>
                <w:lang w:val="en-GB"/>
              </w:rPr>
              <w:t>4.3.5 Improve cooperation with the NPO sector and donors through promoting transparency, accountability, integrity, self-regulation mechanism, training and sharing of good practice examples, for the purpose of mitigating the risk of their abuse for TF purposes;</w:t>
            </w:r>
          </w:p>
        </w:tc>
        <w:tc>
          <w:tcPr>
            <w:tcW w:w="523" w:type="pct"/>
            <w:shd w:val="clear" w:color="auto" w:fill="auto"/>
          </w:tcPr>
          <w:p w:rsidR="009A6D0D" w:rsidRPr="00CF4C4E" w:rsidRDefault="00065149" w:rsidP="00CF4C4E">
            <w:pPr>
              <w:rPr>
                <w:sz w:val="20"/>
                <w:szCs w:val="20"/>
                <w:lang w:val="en-GB"/>
              </w:rPr>
            </w:pPr>
            <w:r w:rsidRPr="00CF4C4E">
              <w:rPr>
                <w:sz w:val="20"/>
                <w:szCs w:val="20"/>
                <w:lang w:val="en-GB"/>
              </w:rPr>
              <w:t>OCCS</w:t>
            </w:r>
          </w:p>
        </w:tc>
        <w:tc>
          <w:tcPr>
            <w:tcW w:w="477" w:type="pct"/>
            <w:shd w:val="clear" w:color="auto" w:fill="auto"/>
          </w:tcPr>
          <w:p w:rsidR="009A6D0D" w:rsidRPr="00CF4C4E" w:rsidRDefault="009A6D0D" w:rsidP="00CF4C4E">
            <w:pPr>
              <w:rPr>
                <w:sz w:val="20"/>
                <w:szCs w:val="20"/>
                <w:lang w:val="en-GB"/>
              </w:rPr>
            </w:pPr>
            <w:r w:rsidRPr="00CF4C4E">
              <w:rPr>
                <w:sz w:val="20"/>
                <w:szCs w:val="20"/>
                <w:lang w:val="en-GB"/>
              </w:rPr>
              <w:t>AML/CFT CB, NPO sector, donors, APML, MoI</w:t>
            </w:r>
          </w:p>
        </w:tc>
        <w:tc>
          <w:tcPr>
            <w:tcW w:w="447" w:type="pct"/>
            <w:shd w:val="clear" w:color="auto" w:fill="auto"/>
          </w:tcPr>
          <w:p w:rsidR="009A6D0D" w:rsidRPr="00CF4C4E" w:rsidRDefault="009A6D0D" w:rsidP="00CF4C4E">
            <w:pPr>
              <w:rPr>
                <w:sz w:val="20"/>
                <w:szCs w:val="20"/>
                <w:lang w:val="en-GB"/>
              </w:rPr>
            </w:pPr>
            <w:r w:rsidRPr="00CF4C4E">
              <w:rPr>
                <w:sz w:val="20"/>
                <w:szCs w:val="20"/>
                <w:lang w:val="en-GB"/>
              </w:rPr>
              <w:t>IV quarter of 2022</w:t>
            </w:r>
          </w:p>
        </w:tc>
        <w:tc>
          <w:tcPr>
            <w:tcW w:w="605" w:type="pct"/>
            <w:shd w:val="clear" w:color="auto" w:fill="auto"/>
          </w:tcPr>
          <w:p w:rsidR="009A6D0D" w:rsidRPr="00CF4C4E" w:rsidRDefault="009A6D0D" w:rsidP="00CF4C4E">
            <w:pPr>
              <w:rPr>
                <w:sz w:val="20"/>
                <w:szCs w:val="20"/>
                <w:lang w:val="en-GB"/>
              </w:rPr>
            </w:pPr>
            <w:r w:rsidRPr="00CF4C4E">
              <w:rPr>
                <w:sz w:val="20"/>
                <w:szCs w:val="20"/>
                <w:lang w:val="en-GB"/>
              </w:rPr>
              <w:t>Financed as part of regular activities of staff</w:t>
            </w:r>
          </w:p>
          <w:p w:rsidR="009A6D0D" w:rsidRPr="00CF4C4E" w:rsidRDefault="009A6D0D" w:rsidP="00CF4C4E">
            <w:pPr>
              <w:rPr>
                <w:sz w:val="20"/>
                <w:szCs w:val="20"/>
                <w:lang w:val="en-GB"/>
              </w:rPr>
            </w:pPr>
          </w:p>
          <w:p w:rsidR="009A6D0D" w:rsidRPr="00CF4C4E" w:rsidRDefault="009A6D0D" w:rsidP="00CF4C4E">
            <w:pPr>
              <w:rPr>
                <w:sz w:val="20"/>
                <w:szCs w:val="20"/>
                <w:lang w:val="en-GB"/>
              </w:rPr>
            </w:pPr>
            <w:r w:rsidRPr="00CF4C4E">
              <w:rPr>
                <w:sz w:val="20"/>
                <w:szCs w:val="20"/>
                <w:lang w:val="en-GB"/>
              </w:rPr>
              <w:t>Domestic and international donor funds</w:t>
            </w:r>
          </w:p>
        </w:tc>
        <w:tc>
          <w:tcPr>
            <w:tcW w:w="446" w:type="pct"/>
            <w:shd w:val="clear" w:color="auto" w:fill="auto"/>
          </w:tcPr>
          <w:p w:rsidR="009A6D0D" w:rsidRPr="00CF4C4E" w:rsidRDefault="009A6D0D" w:rsidP="00CF4C4E">
            <w:pPr>
              <w:rPr>
                <w:sz w:val="20"/>
                <w:szCs w:val="20"/>
                <w:lang w:val="en-GB"/>
              </w:rPr>
            </w:pPr>
          </w:p>
        </w:tc>
        <w:tc>
          <w:tcPr>
            <w:tcW w:w="541" w:type="pct"/>
            <w:shd w:val="clear" w:color="auto" w:fill="auto"/>
          </w:tcPr>
          <w:p w:rsidR="009A6D0D" w:rsidRPr="00CF4C4E" w:rsidRDefault="009A6D0D" w:rsidP="00CF4C4E">
            <w:pPr>
              <w:rPr>
                <w:sz w:val="20"/>
                <w:szCs w:val="20"/>
                <w:lang w:val="en-GB"/>
              </w:rPr>
            </w:pPr>
          </w:p>
        </w:tc>
        <w:tc>
          <w:tcPr>
            <w:tcW w:w="510" w:type="pct"/>
            <w:shd w:val="clear" w:color="auto" w:fill="auto"/>
          </w:tcPr>
          <w:p w:rsidR="009A6D0D" w:rsidRPr="00CF4C4E" w:rsidRDefault="009A6D0D" w:rsidP="00CF4C4E">
            <w:pPr>
              <w:rPr>
                <w:sz w:val="20"/>
                <w:szCs w:val="20"/>
                <w:lang w:val="en-GB"/>
              </w:rPr>
            </w:pPr>
          </w:p>
        </w:tc>
        <w:tc>
          <w:tcPr>
            <w:tcW w:w="528" w:type="pct"/>
            <w:shd w:val="clear" w:color="auto" w:fill="auto"/>
          </w:tcPr>
          <w:p w:rsidR="009A6D0D" w:rsidRPr="00CF4C4E" w:rsidRDefault="009A6D0D" w:rsidP="00CF4C4E">
            <w:pPr>
              <w:rPr>
                <w:sz w:val="20"/>
                <w:szCs w:val="20"/>
                <w:lang w:val="en-GB"/>
              </w:rPr>
            </w:pPr>
          </w:p>
        </w:tc>
      </w:tr>
      <w:tr w:rsidR="009A6D0D" w:rsidRPr="00CF4C4E" w:rsidTr="00CB13E8">
        <w:trPr>
          <w:trHeight w:val="1946"/>
          <w:tblHeader/>
        </w:trPr>
        <w:tc>
          <w:tcPr>
            <w:tcW w:w="923" w:type="pct"/>
            <w:tcBorders>
              <w:left w:val="double" w:sz="4" w:space="0" w:color="auto"/>
            </w:tcBorders>
            <w:shd w:val="clear" w:color="auto" w:fill="auto"/>
          </w:tcPr>
          <w:p w:rsidR="009A6D0D" w:rsidRPr="00CF4C4E" w:rsidRDefault="00081B8D" w:rsidP="00CF4C4E">
            <w:pPr>
              <w:rPr>
                <w:sz w:val="20"/>
                <w:szCs w:val="20"/>
                <w:lang w:val="en-GB"/>
              </w:rPr>
            </w:pPr>
            <w:r w:rsidRPr="00CF4C4E">
              <w:rPr>
                <w:sz w:val="20"/>
                <w:szCs w:val="20"/>
                <w:lang w:val="en-GB"/>
              </w:rPr>
              <w:t xml:space="preserve">4.3.6 Analyse current human, IT, and financial capacities of authorities relevant for registration and de-registration, record-keeping, supervision and cooperation with the NPO sector </w:t>
            </w:r>
          </w:p>
        </w:tc>
        <w:tc>
          <w:tcPr>
            <w:tcW w:w="523" w:type="pct"/>
            <w:shd w:val="clear" w:color="auto" w:fill="auto"/>
          </w:tcPr>
          <w:p w:rsidR="009A6D0D" w:rsidRPr="00CF4C4E" w:rsidRDefault="009A6D0D" w:rsidP="00CF4C4E">
            <w:pPr>
              <w:rPr>
                <w:sz w:val="20"/>
                <w:szCs w:val="20"/>
                <w:lang w:val="en-GB"/>
              </w:rPr>
            </w:pPr>
            <w:r w:rsidRPr="00CF4C4E">
              <w:rPr>
                <w:sz w:val="20"/>
                <w:szCs w:val="20"/>
                <w:lang w:val="en-GB"/>
              </w:rPr>
              <w:t>AML/CFT CB</w:t>
            </w:r>
          </w:p>
        </w:tc>
        <w:tc>
          <w:tcPr>
            <w:tcW w:w="477" w:type="pct"/>
            <w:shd w:val="clear" w:color="auto" w:fill="auto"/>
          </w:tcPr>
          <w:p w:rsidR="009A6D0D" w:rsidRPr="00CF4C4E" w:rsidRDefault="008E086E" w:rsidP="00CF4C4E">
            <w:pPr>
              <w:rPr>
                <w:sz w:val="20"/>
                <w:szCs w:val="20"/>
                <w:lang w:val="en-GB"/>
              </w:rPr>
            </w:pPr>
            <w:r w:rsidRPr="00CF4C4E">
              <w:rPr>
                <w:sz w:val="20"/>
                <w:szCs w:val="20"/>
                <w:lang w:val="en-GB"/>
              </w:rPr>
              <w:t>MPALSG-AI, MCI, OCCS, MinEcon-SBRA, MoF, NPOWG</w:t>
            </w:r>
          </w:p>
        </w:tc>
        <w:tc>
          <w:tcPr>
            <w:tcW w:w="447" w:type="pct"/>
            <w:shd w:val="clear" w:color="auto" w:fill="auto"/>
          </w:tcPr>
          <w:p w:rsidR="009A6D0D" w:rsidRPr="00CF4C4E" w:rsidRDefault="009A6D0D" w:rsidP="00CF4C4E">
            <w:pPr>
              <w:rPr>
                <w:sz w:val="20"/>
                <w:szCs w:val="20"/>
                <w:lang w:val="en-GB"/>
              </w:rPr>
            </w:pPr>
            <w:r w:rsidRPr="00CF4C4E">
              <w:rPr>
                <w:sz w:val="20"/>
                <w:szCs w:val="20"/>
                <w:lang w:val="en-GB"/>
              </w:rPr>
              <w:t xml:space="preserve">Analysis: IV quarter of 2021 </w:t>
            </w:r>
          </w:p>
        </w:tc>
        <w:tc>
          <w:tcPr>
            <w:tcW w:w="605" w:type="pct"/>
            <w:shd w:val="clear" w:color="auto" w:fill="auto"/>
          </w:tcPr>
          <w:p w:rsidR="009A6D0D" w:rsidRPr="00CF4C4E" w:rsidRDefault="009A6D0D" w:rsidP="00CF4C4E">
            <w:pPr>
              <w:rPr>
                <w:sz w:val="20"/>
                <w:szCs w:val="20"/>
                <w:lang w:val="en-GB"/>
              </w:rPr>
            </w:pPr>
            <w:r w:rsidRPr="00CF4C4E">
              <w:rPr>
                <w:sz w:val="20"/>
                <w:szCs w:val="20"/>
                <w:lang w:val="en-GB"/>
              </w:rPr>
              <w:t>Financed as part of regular activities of staff</w:t>
            </w:r>
          </w:p>
          <w:p w:rsidR="009A6D0D" w:rsidRPr="00CF4C4E" w:rsidRDefault="009A6D0D" w:rsidP="00CF4C4E">
            <w:pPr>
              <w:rPr>
                <w:sz w:val="20"/>
                <w:szCs w:val="20"/>
                <w:lang w:val="en-GB"/>
              </w:rPr>
            </w:pPr>
          </w:p>
          <w:p w:rsidR="009A6D0D" w:rsidRPr="00CF4C4E" w:rsidRDefault="009A6D0D" w:rsidP="00CF4C4E">
            <w:pPr>
              <w:rPr>
                <w:sz w:val="20"/>
                <w:szCs w:val="20"/>
                <w:lang w:val="en-GB"/>
              </w:rPr>
            </w:pPr>
            <w:r w:rsidRPr="00CF4C4E">
              <w:rPr>
                <w:sz w:val="20"/>
                <w:szCs w:val="20"/>
                <w:lang w:val="en-GB"/>
              </w:rPr>
              <w:t>Domestic and international donor funds</w:t>
            </w:r>
          </w:p>
        </w:tc>
        <w:tc>
          <w:tcPr>
            <w:tcW w:w="446" w:type="pct"/>
            <w:shd w:val="clear" w:color="auto" w:fill="auto"/>
          </w:tcPr>
          <w:p w:rsidR="009A6D0D" w:rsidRPr="00CF4C4E" w:rsidRDefault="009A6D0D" w:rsidP="00CF4C4E">
            <w:pPr>
              <w:rPr>
                <w:sz w:val="20"/>
                <w:szCs w:val="20"/>
                <w:lang w:val="en-GB"/>
              </w:rPr>
            </w:pPr>
          </w:p>
        </w:tc>
        <w:tc>
          <w:tcPr>
            <w:tcW w:w="541" w:type="pct"/>
            <w:shd w:val="clear" w:color="auto" w:fill="auto"/>
          </w:tcPr>
          <w:p w:rsidR="009A6D0D" w:rsidRPr="00CF4C4E" w:rsidRDefault="009A6D0D" w:rsidP="00CF4C4E">
            <w:pPr>
              <w:rPr>
                <w:sz w:val="20"/>
                <w:szCs w:val="20"/>
                <w:lang w:val="en-GB"/>
              </w:rPr>
            </w:pPr>
          </w:p>
        </w:tc>
        <w:tc>
          <w:tcPr>
            <w:tcW w:w="510" w:type="pct"/>
            <w:shd w:val="clear" w:color="auto" w:fill="auto"/>
          </w:tcPr>
          <w:p w:rsidR="009A6D0D" w:rsidRPr="00CF4C4E" w:rsidRDefault="009A6D0D" w:rsidP="00CF4C4E">
            <w:pPr>
              <w:rPr>
                <w:sz w:val="20"/>
                <w:szCs w:val="20"/>
                <w:lang w:val="en-GB"/>
              </w:rPr>
            </w:pPr>
          </w:p>
        </w:tc>
        <w:tc>
          <w:tcPr>
            <w:tcW w:w="528" w:type="pct"/>
            <w:shd w:val="clear" w:color="auto" w:fill="auto"/>
          </w:tcPr>
          <w:p w:rsidR="009A6D0D" w:rsidRPr="00CF4C4E" w:rsidRDefault="009A6D0D" w:rsidP="00CF4C4E">
            <w:pPr>
              <w:rPr>
                <w:sz w:val="20"/>
                <w:szCs w:val="20"/>
                <w:lang w:val="en-GB"/>
              </w:rPr>
            </w:pPr>
          </w:p>
        </w:tc>
      </w:tr>
      <w:tr w:rsidR="009A6D0D" w:rsidRPr="00CF4C4E" w:rsidTr="00C11F8E">
        <w:trPr>
          <w:trHeight w:val="140"/>
          <w:tblHeader/>
        </w:trPr>
        <w:tc>
          <w:tcPr>
            <w:tcW w:w="923" w:type="pct"/>
            <w:tcBorders>
              <w:left w:val="double" w:sz="4" w:space="0" w:color="auto"/>
            </w:tcBorders>
            <w:shd w:val="clear" w:color="auto" w:fill="auto"/>
          </w:tcPr>
          <w:p w:rsidR="009A6D0D" w:rsidRPr="00CF4C4E" w:rsidRDefault="009A6D0D" w:rsidP="00CF4C4E">
            <w:pPr>
              <w:rPr>
                <w:sz w:val="20"/>
                <w:szCs w:val="20"/>
                <w:lang w:val="en-GB"/>
              </w:rPr>
            </w:pPr>
            <w:r w:rsidRPr="00CF4C4E">
              <w:rPr>
                <w:sz w:val="20"/>
                <w:szCs w:val="20"/>
                <w:lang w:val="en-GB"/>
              </w:rPr>
              <w:t>4.3.7 Improve the system and capacities of the authorities in accordance with the analysis under 4.3.6;</w:t>
            </w:r>
          </w:p>
        </w:tc>
        <w:tc>
          <w:tcPr>
            <w:tcW w:w="523" w:type="pct"/>
            <w:shd w:val="clear" w:color="auto" w:fill="auto"/>
          </w:tcPr>
          <w:p w:rsidR="009A6D0D" w:rsidRPr="00CF4C4E" w:rsidRDefault="00065149" w:rsidP="00CF4C4E">
            <w:pPr>
              <w:rPr>
                <w:sz w:val="20"/>
                <w:szCs w:val="20"/>
                <w:lang w:val="en-GB"/>
              </w:rPr>
            </w:pPr>
            <w:r w:rsidRPr="00CF4C4E">
              <w:rPr>
                <w:sz w:val="20"/>
                <w:szCs w:val="20"/>
                <w:lang w:val="en-GB"/>
              </w:rPr>
              <w:t>GoS</w:t>
            </w:r>
          </w:p>
        </w:tc>
        <w:tc>
          <w:tcPr>
            <w:tcW w:w="477" w:type="pct"/>
            <w:shd w:val="clear" w:color="auto" w:fill="auto"/>
          </w:tcPr>
          <w:p w:rsidR="009A6D0D" w:rsidRPr="00CF4C4E" w:rsidRDefault="009A6D0D" w:rsidP="00CF4C4E">
            <w:pPr>
              <w:rPr>
                <w:sz w:val="20"/>
                <w:szCs w:val="20"/>
                <w:lang w:val="en-GB"/>
              </w:rPr>
            </w:pPr>
            <w:r w:rsidRPr="00CF4C4E">
              <w:rPr>
                <w:sz w:val="20"/>
                <w:szCs w:val="20"/>
                <w:lang w:val="en-GB"/>
              </w:rPr>
              <w:t>AML/CFT CB</w:t>
            </w:r>
          </w:p>
        </w:tc>
        <w:tc>
          <w:tcPr>
            <w:tcW w:w="447" w:type="pct"/>
            <w:shd w:val="clear" w:color="auto" w:fill="auto"/>
          </w:tcPr>
          <w:p w:rsidR="009A6D0D" w:rsidRPr="00CF4C4E" w:rsidRDefault="009A6D0D" w:rsidP="00CF4C4E">
            <w:pPr>
              <w:rPr>
                <w:sz w:val="20"/>
                <w:szCs w:val="20"/>
                <w:lang w:val="en-GB"/>
              </w:rPr>
            </w:pPr>
            <w:r w:rsidRPr="00CF4C4E">
              <w:rPr>
                <w:sz w:val="20"/>
                <w:szCs w:val="20"/>
                <w:lang w:val="en-GB"/>
              </w:rPr>
              <w:t>IV quarter of 2022</w:t>
            </w:r>
          </w:p>
        </w:tc>
        <w:tc>
          <w:tcPr>
            <w:tcW w:w="605" w:type="pct"/>
            <w:shd w:val="clear" w:color="auto" w:fill="auto"/>
          </w:tcPr>
          <w:p w:rsidR="009A6D0D" w:rsidRPr="00CF4C4E" w:rsidRDefault="009A6D0D" w:rsidP="00CF4C4E">
            <w:pPr>
              <w:rPr>
                <w:sz w:val="20"/>
                <w:szCs w:val="20"/>
                <w:lang w:val="en-GB"/>
              </w:rPr>
            </w:pPr>
            <w:r w:rsidRPr="00CF4C4E">
              <w:rPr>
                <w:sz w:val="20"/>
                <w:szCs w:val="20"/>
                <w:lang w:val="en-GB"/>
              </w:rPr>
              <w:t xml:space="preserve">In accordance with the findings of the analysis. To be taken into account in the updated Action Plan. </w:t>
            </w:r>
          </w:p>
        </w:tc>
        <w:tc>
          <w:tcPr>
            <w:tcW w:w="446" w:type="pct"/>
            <w:shd w:val="clear" w:color="auto" w:fill="auto"/>
          </w:tcPr>
          <w:p w:rsidR="009A6D0D" w:rsidRPr="00CF4C4E" w:rsidRDefault="009A6D0D" w:rsidP="00CF4C4E">
            <w:pPr>
              <w:rPr>
                <w:sz w:val="20"/>
                <w:szCs w:val="20"/>
                <w:lang w:val="en-GB"/>
              </w:rPr>
            </w:pPr>
          </w:p>
        </w:tc>
        <w:tc>
          <w:tcPr>
            <w:tcW w:w="541" w:type="pct"/>
            <w:shd w:val="clear" w:color="auto" w:fill="auto"/>
          </w:tcPr>
          <w:p w:rsidR="009A6D0D" w:rsidRPr="00CF4C4E" w:rsidRDefault="009A6D0D" w:rsidP="00CF4C4E">
            <w:pPr>
              <w:rPr>
                <w:sz w:val="20"/>
                <w:szCs w:val="20"/>
                <w:lang w:val="en-GB"/>
              </w:rPr>
            </w:pPr>
          </w:p>
        </w:tc>
        <w:tc>
          <w:tcPr>
            <w:tcW w:w="510" w:type="pct"/>
            <w:shd w:val="clear" w:color="auto" w:fill="auto"/>
          </w:tcPr>
          <w:p w:rsidR="009A6D0D" w:rsidRPr="00CF4C4E" w:rsidRDefault="009A6D0D" w:rsidP="00CF4C4E">
            <w:pPr>
              <w:rPr>
                <w:sz w:val="20"/>
                <w:szCs w:val="20"/>
                <w:lang w:val="en-GB"/>
              </w:rPr>
            </w:pPr>
          </w:p>
        </w:tc>
        <w:tc>
          <w:tcPr>
            <w:tcW w:w="528" w:type="pct"/>
            <w:shd w:val="clear" w:color="auto" w:fill="auto"/>
          </w:tcPr>
          <w:p w:rsidR="009A6D0D" w:rsidRPr="00CF4C4E" w:rsidRDefault="009A6D0D" w:rsidP="00CF4C4E">
            <w:pPr>
              <w:rPr>
                <w:sz w:val="20"/>
                <w:szCs w:val="20"/>
                <w:lang w:val="en-GB"/>
              </w:rPr>
            </w:pPr>
          </w:p>
        </w:tc>
      </w:tr>
      <w:tr w:rsidR="009A6D0D" w:rsidRPr="00CF4C4E" w:rsidTr="00C11F8E">
        <w:trPr>
          <w:trHeight w:val="140"/>
          <w:tblHeader/>
        </w:trPr>
        <w:tc>
          <w:tcPr>
            <w:tcW w:w="923" w:type="pct"/>
            <w:tcBorders>
              <w:left w:val="double" w:sz="4" w:space="0" w:color="auto"/>
            </w:tcBorders>
            <w:shd w:val="clear" w:color="auto" w:fill="auto"/>
          </w:tcPr>
          <w:p w:rsidR="009A6D0D" w:rsidRPr="00CF4C4E" w:rsidRDefault="009A6D0D" w:rsidP="00CF4C4E">
            <w:pPr>
              <w:rPr>
                <w:sz w:val="20"/>
                <w:szCs w:val="20"/>
                <w:lang w:val="en-GB"/>
              </w:rPr>
            </w:pPr>
            <w:r w:rsidRPr="00CF4C4E">
              <w:rPr>
                <w:sz w:val="20"/>
                <w:szCs w:val="20"/>
                <w:lang w:val="en-GB"/>
              </w:rPr>
              <w:lastRenderedPageBreak/>
              <w:t>4.3.8 Continue training inspectors at institutions competent for supervising non-profit organisations;</w:t>
            </w:r>
          </w:p>
        </w:tc>
        <w:tc>
          <w:tcPr>
            <w:tcW w:w="523" w:type="pct"/>
            <w:shd w:val="clear" w:color="auto" w:fill="auto"/>
          </w:tcPr>
          <w:p w:rsidR="009A6D0D" w:rsidRPr="00CF4C4E" w:rsidRDefault="009A6D0D" w:rsidP="00CF4C4E">
            <w:pPr>
              <w:rPr>
                <w:sz w:val="20"/>
                <w:szCs w:val="20"/>
                <w:lang w:val="en-GB"/>
              </w:rPr>
            </w:pPr>
            <w:r w:rsidRPr="00CF4C4E">
              <w:rPr>
                <w:sz w:val="20"/>
                <w:szCs w:val="20"/>
                <w:lang w:val="en-GB"/>
              </w:rPr>
              <w:t>AML/CFT CB</w:t>
            </w:r>
          </w:p>
        </w:tc>
        <w:tc>
          <w:tcPr>
            <w:tcW w:w="477" w:type="pct"/>
            <w:shd w:val="clear" w:color="auto" w:fill="auto"/>
          </w:tcPr>
          <w:p w:rsidR="009A6D0D" w:rsidRPr="00CF4C4E" w:rsidRDefault="00065149" w:rsidP="00CF4C4E">
            <w:pPr>
              <w:rPr>
                <w:sz w:val="20"/>
                <w:szCs w:val="20"/>
                <w:lang w:val="en-GB"/>
              </w:rPr>
            </w:pPr>
            <w:r w:rsidRPr="00CF4C4E">
              <w:rPr>
                <w:sz w:val="20"/>
                <w:szCs w:val="20"/>
                <w:lang w:val="en-GB"/>
              </w:rPr>
              <w:t>CCIO, NPOWG</w:t>
            </w:r>
          </w:p>
        </w:tc>
        <w:tc>
          <w:tcPr>
            <w:tcW w:w="447" w:type="pct"/>
            <w:shd w:val="clear" w:color="auto" w:fill="auto"/>
          </w:tcPr>
          <w:p w:rsidR="009A6D0D" w:rsidRPr="00CF4C4E" w:rsidRDefault="009A6D0D" w:rsidP="00CF4C4E">
            <w:pPr>
              <w:rPr>
                <w:sz w:val="20"/>
                <w:szCs w:val="20"/>
                <w:lang w:val="en-GB"/>
              </w:rPr>
            </w:pPr>
            <w:r w:rsidRPr="00CF4C4E">
              <w:rPr>
                <w:sz w:val="20"/>
                <w:szCs w:val="20"/>
                <w:lang w:val="en-GB"/>
              </w:rPr>
              <w:t>IV quarter of 2022</w:t>
            </w:r>
          </w:p>
        </w:tc>
        <w:tc>
          <w:tcPr>
            <w:tcW w:w="605" w:type="pct"/>
            <w:shd w:val="clear" w:color="auto" w:fill="auto"/>
          </w:tcPr>
          <w:p w:rsidR="009A6D0D" w:rsidRPr="00CF4C4E" w:rsidRDefault="009A6D0D" w:rsidP="00CF4C4E">
            <w:pPr>
              <w:rPr>
                <w:sz w:val="20"/>
                <w:szCs w:val="20"/>
                <w:lang w:val="en-GB"/>
              </w:rPr>
            </w:pPr>
            <w:r w:rsidRPr="00CF4C4E">
              <w:rPr>
                <w:sz w:val="20"/>
                <w:szCs w:val="20"/>
                <w:lang w:val="en-GB"/>
              </w:rPr>
              <w:t>Financed as part of regular activities of staff</w:t>
            </w:r>
          </w:p>
          <w:p w:rsidR="009A6D0D" w:rsidRPr="00CF4C4E" w:rsidRDefault="009A6D0D" w:rsidP="00CF4C4E">
            <w:pPr>
              <w:rPr>
                <w:sz w:val="20"/>
                <w:szCs w:val="20"/>
                <w:lang w:val="en-GB"/>
              </w:rPr>
            </w:pPr>
          </w:p>
          <w:p w:rsidR="009A6D0D" w:rsidRPr="00CF4C4E" w:rsidRDefault="009A6D0D" w:rsidP="00CF4C4E">
            <w:pPr>
              <w:rPr>
                <w:sz w:val="20"/>
                <w:szCs w:val="20"/>
                <w:lang w:val="en-GB"/>
              </w:rPr>
            </w:pPr>
            <w:r w:rsidRPr="00CF4C4E">
              <w:rPr>
                <w:sz w:val="20"/>
                <w:szCs w:val="20"/>
                <w:lang w:val="en-GB"/>
              </w:rPr>
              <w:t>Domestic and international donor funds</w:t>
            </w:r>
          </w:p>
        </w:tc>
        <w:tc>
          <w:tcPr>
            <w:tcW w:w="446" w:type="pct"/>
            <w:shd w:val="clear" w:color="auto" w:fill="auto"/>
          </w:tcPr>
          <w:p w:rsidR="009A6D0D" w:rsidRPr="00CF4C4E" w:rsidRDefault="009A6D0D" w:rsidP="00CF4C4E">
            <w:pPr>
              <w:rPr>
                <w:sz w:val="20"/>
                <w:szCs w:val="20"/>
                <w:lang w:val="en-GB"/>
              </w:rPr>
            </w:pPr>
          </w:p>
        </w:tc>
        <w:tc>
          <w:tcPr>
            <w:tcW w:w="541" w:type="pct"/>
            <w:shd w:val="clear" w:color="auto" w:fill="auto"/>
          </w:tcPr>
          <w:p w:rsidR="009A6D0D" w:rsidRPr="00CF4C4E" w:rsidRDefault="009A6D0D" w:rsidP="00CF4C4E">
            <w:pPr>
              <w:rPr>
                <w:sz w:val="20"/>
                <w:szCs w:val="20"/>
                <w:lang w:val="en-GB"/>
              </w:rPr>
            </w:pPr>
          </w:p>
        </w:tc>
        <w:tc>
          <w:tcPr>
            <w:tcW w:w="510" w:type="pct"/>
            <w:shd w:val="clear" w:color="auto" w:fill="auto"/>
          </w:tcPr>
          <w:p w:rsidR="009A6D0D" w:rsidRPr="00CF4C4E" w:rsidRDefault="009A6D0D" w:rsidP="00CF4C4E">
            <w:pPr>
              <w:rPr>
                <w:sz w:val="20"/>
                <w:szCs w:val="20"/>
                <w:lang w:val="en-GB"/>
              </w:rPr>
            </w:pPr>
          </w:p>
        </w:tc>
        <w:tc>
          <w:tcPr>
            <w:tcW w:w="528" w:type="pct"/>
            <w:shd w:val="clear" w:color="auto" w:fill="auto"/>
          </w:tcPr>
          <w:p w:rsidR="009A6D0D" w:rsidRPr="00CF4C4E" w:rsidRDefault="009A6D0D" w:rsidP="00CF4C4E">
            <w:pPr>
              <w:rPr>
                <w:sz w:val="20"/>
                <w:szCs w:val="20"/>
                <w:lang w:val="en-GB"/>
              </w:rPr>
            </w:pPr>
          </w:p>
        </w:tc>
      </w:tr>
      <w:tr w:rsidR="009A6D0D" w:rsidRPr="00CF4C4E" w:rsidTr="00C11F8E">
        <w:trPr>
          <w:trHeight w:val="140"/>
          <w:tblHeader/>
        </w:trPr>
        <w:tc>
          <w:tcPr>
            <w:tcW w:w="923" w:type="pct"/>
            <w:tcBorders>
              <w:left w:val="double" w:sz="4" w:space="0" w:color="auto"/>
            </w:tcBorders>
            <w:shd w:val="clear" w:color="auto" w:fill="auto"/>
          </w:tcPr>
          <w:p w:rsidR="009A6D0D" w:rsidRPr="00CF4C4E" w:rsidRDefault="009A6D0D" w:rsidP="00CF4C4E">
            <w:pPr>
              <w:rPr>
                <w:sz w:val="20"/>
                <w:szCs w:val="20"/>
                <w:lang w:val="en-GB"/>
              </w:rPr>
            </w:pPr>
            <w:r w:rsidRPr="00CF4C4E">
              <w:rPr>
                <w:sz w:val="20"/>
                <w:szCs w:val="20"/>
                <w:lang w:val="en-GB"/>
              </w:rPr>
              <w:t>4.3.9 Raising the level of NPO sector’s knowledge and awareness on legitimate financial operations</w:t>
            </w:r>
          </w:p>
        </w:tc>
        <w:tc>
          <w:tcPr>
            <w:tcW w:w="523" w:type="pct"/>
            <w:shd w:val="clear" w:color="auto" w:fill="auto"/>
          </w:tcPr>
          <w:p w:rsidR="009A6D0D" w:rsidRPr="00CF4C4E" w:rsidRDefault="009A6D0D" w:rsidP="00CF4C4E">
            <w:pPr>
              <w:rPr>
                <w:sz w:val="20"/>
                <w:szCs w:val="20"/>
                <w:lang w:val="en-GB"/>
              </w:rPr>
            </w:pPr>
            <w:r w:rsidRPr="00CF4C4E">
              <w:rPr>
                <w:sz w:val="20"/>
                <w:szCs w:val="20"/>
                <w:lang w:val="en-GB"/>
              </w:rPr>
              <w:t xml:space="preserve">AML/CFT CB </w:t>
            </w:r>
          </w:p>
        </w:tc>
        <w:tc>
          <w:tcPr>
            <w:tcW w:w="477" w:type="pct"/>
            <w:shd w:val="clear" w:color="auto" w:fill="auto"/>
          </w:tcPr>
          <w:p w:rsidR="009A6D0D" w:rsidRPr="00CF4C4E" w:rsidRDefault="009A6D0D" w:rsidP="00CF4C4E">
            <w:pPr>
              <w:rPr>
                <w:sz w:val="20"/>
                <w:szCs w:val="20"/>
                <w:lang w:val="en-GB"/>
              </w:rPr>
            </w:pPr>
            <w:r w:rsidRPr="00CF4C4E">
              <w:rPr>
                <w:sz w:val="20"/>
                <w:szCs w:val="20"/>
                <w:lang w:val="en-GB"/>
              </w:rPr>
              <w:t>NBS, MPALSG,</w:t>
            </w:r>
          </w:p>
          <w:p w:rsidR="009A6D0D" w:rsidRPr="00CF4C4E" w:rsidRDefault="00065149" w:rsidP="00CF4C4E">
            <w:pPr>
              <w:rPr>
                <w:sz w:val="20"/>
                <w:szCs w:val="20"/>
                <w:lang w:val="en-GB"/>
              </w:rPr>
            </w:pPr>
            <w:r w:rsidRPr="00CF4C4E">
              <w:rPr>
                <w:sz w:val="20"/>
                <w:szCs w:val="20"/>
                <w:lang w:val="en-GB"/>
              </w:rPr>
              <w:t>MCI, OCCS, NPO sector, APML</w:t>
            </w:r>
          </w:p>
        </w:tc>
        <w:tc>
          <w:tcPr>
            <w:tcW w:w="447" w:type="pct"/>
            <w:shd w:val="clear" w:color="auto" w:fill="auto"/>
          </w:tcPr>
          <w:p w:rsidR="009A6D0D" w:rsidRPr="00CF4C4E" w:rsidRDefault="009A6D0D" w:rsidP="00CF4C4E">
            <w:pPr>
              <w:rPr>
                <w:sz w:val="20"/>
                <w:szCs w:val="20"/>
                <w:lang w:val="en-GB"/>
              </w:rPr>
            </w:pPr>
            <w:r w:rsidRPr="00CF4C4E">
              <w:rPr>
                <w:sz w:val="20"/>
                <w:szCs w:val="20"/>
                <w:lang w:val="en-GB"/>
              </w:rPr>
              <w:t>IV quarter of 2022</w:t>
            </w:r>
          </w:p>
        </w:tc>
        <w:tc>
          <w:tcPr>
            <w:tcW w:w="605" w:type="pct"/>
            <w:shd w:val="clear" w:color="auto" w:fill="auto"/>
          </w:tcPr>
          <w:p w:rsidR="009A6D0D" w:rsidRPr="00CF4C4E" w:rsidRDefault="009A6D0D" w:rsidP="00CF4C4E">
            <w:pPr>
              <w:rPr>
                <w:sz w:val="20"/>
                <w:szCs w:val="20"/>
                <w:lang w:val="en-GB"/>
              </w:rPr>
            </w:pPr>
            <w:r w:rsidRPr="00CF4C4E">
              <w:rPr>
                <w:sz w:val="20"/>
                <w:szCs w:val="20"/>
                <w:lang w:val="en-GB"/>
              </w:rPr>
              <w:t>Financed as part of regular activities of staff</w:t>
            </w:r>
          </w:p>
          <w:p w:rsidR="009A6D0D" w:rsidRPr="00CF4C4E" w:rsidRDefault="009A6D0D" w:rsidP="00CF4C4E">
            <w:pPr>
              <w:rPr>
                <w:sz w:val="20"/>
                <w:szCs w:val="20"/>
                <w:lang w:val="en-GB"/>
              </w:rPr>
            </w:pPr>
          </w:p>
          <w:p w:rsidR="009A6D0D" w:rsidRPr="00CF4C4E" w:rsidRDefault="009A6D0D" w:rsidP="00CF4C4E">
            <w:pPr>
              <w:rPr>
                <w:sz w:val="20"/>
                <w:szCs w:val="20"/>
                <w:lang w:val="en-GB"/>
              </w:rPr>
            </w:pPr>
            <w:r w:rsidRPr="00CF4C4E">
              <w:rPr>
                <w:sz w:val="20"/>
                <w:szCs w:val="20"/>
                <w:lang w:val="en-GB"/>
              </w:rPr>
              <w:t>Domestic and international donor funds</w:t>
            </w:r>
          </w:p>
        </w:tc>
        <w:tc>
          <w:tcPr>
            <w:tcW w:w="446" w:type="pct"/>
            <w:shd w:val="clear" w:color="auto" w:fill="auto"/>
          </w:tcPr>
          <w:p w:rsidR="009A6D0D" w:rsidRPr="00CF4C4E" w:rsidRDefault="009A6D0D" w:rsidP="00CF4C4E">
            <w:pPr>
              <w:rPr>
                <w:sz w:val="20"/>
                <w:szCs w:val="20"/>
                <w:lang w:val="en-GB"/>
              </w:rPr>
            </w:pPr>
          </w:p>
        </w:tc>
        <w:tc>
          <w:tcPr>
            <w:tcW w:w="541" w:type="pct"/>
            <w:shd w:val="clear" w:color="auto" w:fill="auto"/>
          </w:tcPr>
          <w:p w:rsidR="009A6D0D" w:rsidRPr="00CF4C4E" w:rsidRDefault="009A6D0D" w:rsidP="00CF4C4E">
            <w:pPr>
              <w:rPr>
                <w:sz w:val="20"/>
                <w:szCs w:val="20"/>
                <w:lang w:val="en-GB"/>
              </w:rPr>
            </w:pPr>
          </w:p>
        </w:tc>
        <w:tc>
          <w:tcPr>
            <w:tcW w:w="510" w:type="pct"/>
            <w:shd w:val="clear" w:color="auto" w:fill="auto"/>
          </w:tcPr>
          <w:p w:rsidR="009A6D0D" w:rsidRPr="00CF4C4E" w:rsidRDefault="009A6D0D" w:rsidP="00CF4C4E">
            <w:pPr>
              <w:rPr>
                <w:sz w:val="20"/>
                <w:szCs w:val="20"/>
                <w:lang w:val="en-GB"/>
              </w:rPr>
            </w:pPr>
          </w:p>
        </w:tc>
        <w:tc>
          <w:tcPr>
            <w:tcW w:w="528" w:type="pct"/>
            <w:shd w:val="clear" w:color="auto" w:fill="auto"/>
          </w:tcPr>
          <w:p w:rsidR="009A6D0D" w:rsidRPr="00CF4C4E" w:rsidRDefault="009A6D0D" w:rsidP="00CF4C4E">
            <w:pPr>
              <w:rPr>
                <w:sz w:val="20"/>
                <w:szCs w:val="20"/>
                <w:lang w:val="en-GB"/>
              </w:rPr>
            </w:pPr>
          </w:p>
        </w:tc>
      </w:tr>
      <w:tr w:rsidR="009A6D0D" w:rsidRPr="00CF4C4E" w:rsidTr="00C11F8E">
        <w:trPr>
          <w:trHeight w:val="140"/>
          <w:tblHeader/>
        </w:trPr>
        <w:tc>
          <w:tcPr>
            <w:tcW w:w="923" w:type="pct"/>
            <w:tcBorders>
              <w:left w:val="double" w:sz="4" w:space="0" w:color="auto"/>
            </w:tcBorders>
            <w:shd w:val="clear" w:color="auto" w:fill="auto"/>
          </w:tcPr>
          <w:p w:rsidR="009A6D0D" w:rsidRPr="00CF4C4E" w:rsidRDefault="009A6D0D" w:rsidP="00CF4C4E">
            <w:pPr>
              <w:rPr>
                <w:sz w:val="20"/>
                <w:szCs w:val="20"/>
                <w:lang w:val="en-GB"/>
              </w:rPr>
            </w:pPr>
            <w:r w:rsidRPr="00CF4C4E">
              <w:rPr>
                <w:sz w:val="20"/>
                <w:szCs w:val="20"/>
                <w:lang w:val="en-GB"/>
              </w:rPr>
              <w:t>4.3.10 Keep updated records on NPO activities related to self-regulation</w:t>
            </w:r>
          </w:p>
        </w:tc>
        <w:tc>
          <w:tcPr>
            <w:tcW w:w="523" w:type="pct"/>
            <w:shd w:val="clear" w:color="auto" w:fill="auto"/>
          </w:tcPr>
          <w:p w:rsidR="009A6D0D" w:rsidRPr="00CF4C4E" w:rsidRDefault="008E086E" w:rsidP="00CF4C4E">
            <w:pPr>
              <w:rPr>
                <w:sz w:val="20"/>
                <w:szCs w:val="20"/>
                <w:lang w:val="en-GB"/>
              </w:rPr>
            </w:pPr>
            <w:r w:rsidRPr="00CF4C4E">
              <w:rPr>
                <w:sz w:val="20"/>
                <w:szCs w:val="20"/>
                <w:lang w:val="en-GB"/>
              </w:rPr>
              <w:t>OCCS</w:t>
            </w:r>
          </w:p>
        </w:tc>
        <w:tc>
          <w:tcPr>
            <w:tcW w:w="477" w:type="pct"/>
            <w:shd w:val="clear" w:color="auto" w:fill="auto"/>
          </w:tcPr>
          <w:p w:rsidR="009A6D0D" w:rsidRPr="00CF4C4E" w:rsidRDefault="009A6D0D" w:rsidP="00CF4C4E">
            <w:pPr>
              <w:rPr>
                <w:sz w:val="20"/>
                <w:szCs w:val="20"/>
                <w:lang w:val="en-GB"/>
              </w:rPr>
            </w:pPr>
            <w:r w:rsidRPr="00CF4C4E">
              <w:rPr>
                <w:sz w:val="20"/>
                <w:szCs w:val="20"/>
                <w:lang w:val="en-GB"/>
              </w:rPr>
              <w:t>NPO sector</w:t>
            </w:r>
          </w:p>
        </w:tc>
        <w:tc>
          <w:tcPr>
            <w:tcW w:w="447" w:type="pct"/>
            <w:shd w:val="clear" w:color="auto" w:fill="auto"/>
          </w:tcPr>
          <w:p w:rsidR="009A6D0D" w:rsidRPr="00CF4C4E" w:rsidRDefault="009A6D0D" w:rsidP="00CF4C4E">
            <w:pPr>
              <w:rPr>
                <w:sz w:val="20"/>
                <w:szCs w:val="20"/>
                <w:lang w:val="en-GB"/>
              </w:rPr>
            </w:pPr>
            <w:r w:rsidRPr="00CF4C4E">
              <w:rPr>
                <w:sz w:val="20"/>
                <w:szCs w:val="20"/>
                <w:lang w:val="en-GB"/>
              </w:rPr>
              <w:t>IV quarter of 2022</w:t>
            </w:r>
          </w:p>
        </w:tc>
        <w:tc>
          <w:tcPr>
            <w:tcW w:w="605" w:type="pct"/>
            <w:shd w:val="clear" w:color="auto" w:fill="auto"/>
          </w:tcPr>
          <w:p w:rsidR="009A6D0D" w:rsidRPr="00CF4C4E" w:rsidRDefault="009A6D0D" w:rsidP="00CF4C4E">
            <w:pPr>
              <w:rPr>
                <w:sz w:val="20"/>
                <w:szCs w:val="20"/>
                <w:lang w:val="en-GB"/>
              </w:rPr>
            </w:pPr>
            <w:r w:rsidRPr="00CF4C4E">
              <w:rPr>
                <w:sz w:val="20"/>
                <w:szCs w:val="20"/>
                <w:lang w:val="en-GB"/>
              </w:rPr>
              <w:t>Financed as part of regular activities of staff</w:t>
            </w:r>
          </w:p>
          <w:p w:rsidR="009A6D0D" w:rsidRPr="00CF4C4E" w:rsidRDefault="009A6D0D" w:rsidP="00CF4C4E">
            <w:pPr>
              <w:rPr>
                <w:sz w:val="20"/>
                <w:szCs w:val="20"/>
                <w:lang w:val="en-GB"/>
              </w:rPr>
            </w:pPr>
          </w:p>
          <w:p w:rsidR="009A6D0D" w:rsidRPr="00CF4C4E" w:rsidRDefault="009A6D0D" w:rsidP="00CF4C4E">
            <w:pPr>
              <w:rPr>
                <w:sz w:val="20"/>
                <w:szCs w:val="20"/>
                <w:lang w:val="en-GB"/>
              </w:rPr>
            </w:pPr>
            <w:r w:rsidRPr="00CF4C4E">
              <w:rPr>
                <w:sz w:val="20"/>
                <w:szCs w:val="20"/>
                <w:lang w:val="en-GB"/>
              </w:rPr>
              <w:t>Domestic and international donor funds</w:t>
            </w:r>
          </w:p>
        </w:tc>
        <w:tc>
          <w:tcPr>
            <w:tcW w:w="446" w:type="pct"/>
            <w:shd w:val="clear" w:color="auto" w:fill="auto"/>
          </w:tcPr>
          <w:p w:rsidR="009A6D0D" w:rsidRPr="00CF4C4E" w:rsidRDefault="009A6D0D" w:rsidP="00CF4C4E">
            <w:pPr>
              <w:rPr>
                <w:sz w:val="20"/>
                <w:szCs w:val="20"/>
                <w:lang w:val="en-GB"/>
              </w:rPr>
            </w:pPr>
          </w:p>
        </w:tc>
        <w:tc>
          <w:tcPr>
            <w:tcW w:w="541" w:type="pct"/>
            <w:shd w:val="clear" w:color="auto" w:fill="auto"/>
          </w:tcPr>
          <w:p w:rsidR="009A6D0D" w:rsidRPr="00CF4C4E" w:rsidRDefault="009A6D0D" w:rsidP="00CF4C4E">
            <w:pPr>
              <w:rPr>
                <w:sz w:val="20"/>
                <w:szCs w:val="20"/>
                <w:lang w:val="en-GB"/>
              </w:rPr>
            </w:pPr>
          </w:p>
        </w:tc>
        <w:tc>
          <w:tcPr>
            <w:tcW w:w="510" w:type="pct"/>
            <w:shd w:val="clear" w:color="auto" w:fill="auto"/>
          </w:tcPr>
          <w:p w:rsidR="009A6D0D" w:rsidRPr="00CF4C4E" w:rsidRDefault="009A6D0D" w:rsidP="00CF4C4E">
            <w:pPr>
              <w:rPr>
                <w:sz w:val="20"/>
                <w:szCs w:val="20"/>
                <w:lang w:val="en-GB"/>
              </w:rPr>
            </w:pPr>
          </w:p>
        </w:tc>
        <w:tc>
          <w:tcPr>
            <w:tcW w:w="528" w:type="pct"/>
            <w:shd w:val="clear" w:color="auto" w:fill="auto"/>
          </w:tcPr>
          <w:p w:rsidR="009A6D0D" w:rsidRPr="00CF4C4E" w:rsidRDefault="009A6D0D" w:rsidP="00CF4C4E">
            <w:pPr>
              <w:rPr>
                <w:sz w:val="20"/>
                <w:szCs w:val="20"/>
                <w:lang w:val="en-GB"/>
              </w:rPr>
            </w:pPr>
          </w:p>
        </w:tc>
      </w:tr>
      <w:tr w:rsidR="00E81497" w:rsidRPr="00CF4C4E" w:rsidTr="00C11F8E">
        <w:trPr>
          <w:trHeight w:val="140"/>
          <w:tblHeader/>
        </w:trPr>
        <w:tc>
          <w:tcPr>
            <w:tcW w:w="923" w:type="pct"/>
            <w:tcBorders>
              <w:left w:val="double" w:sz="4" w:space="0" w:color="auto"/>
            </w:tcBorders>
            <w:shd w:val="clear" w:color="auto" w:fill="auto"/>
          </w:tcPr>
          <w:p w:rsidR="00E81497" w:rsidRPr="00CF4C4E" w:rsidRDefault="003F6C47" w:rsidP="00CF4C4E">
            <w:pPr>
              <w:rPr>
                <w:color w:val="auto"/>
                <w:sz w:val="20"/>
                <w:szCs w:val="20"/>
                <w:lang w:val="en-GB"/>
              </w:rPr>
            </w:pPr>
            <w:r w:rsidRPr="00CF4C4E">
              <w:rPr>
                <w:color w:val="auto"/>
                <w:sz w:val="20"/>
                <w:szCs w:val="20"/>
                <w:lang w:val="en-GB"/>
              </w:rPr>
              <w:t>4.3.11 Improve the web-based application for searching designated persons and continue promoting its use;</w:t>
            </w:r>
          </w:p>
        </w:tc>
        <w:tc>
          <w:tcPr>
            <w:tcW w:w="523" w:type="pct"/>
            <w:shd w:val="clear" w:color="auto" w:fill="auto"/>
          </w:tcPr>
          <w:p w:rsidR="00E81497" w:rsidRPr="00CF4C4E" w:rsidRDefault="00E81497" w:rsidP="00CF4C4E">
            <w:pPr>
              <w:rPr>
                <w:color w:val="auto"/>
                <w:sz w:val="20"/>
                <w:szCs w:val="20"/>
                <w:lang w:val="en-GB"/>
              </w:rPr>
            </w:pPr>
            <w:r w:rsidRPr="00CF4C4E">
              <w:rPr>
                <w:color w:val="auto"/>
                <w:sz w:val="20"/>
                <w:szCs w:val="20"/>
                <w:lang w:val="en-GB"/>
              </w:rPr>
              <w:t>APML</w:t>
            </w:r>
          </w:p>
        </w:tc>
        <w:tc>
          <w:tcPr>
            <w:tcW w:w="477" w:type="pct"/>
            <w:shd w:val="clear" w:color="auto" w:fill="auto"/>
          </w:tcPr>
          <w:p w:rsidR="00E81497" w:rsidRPr="00CF4C4E" w:rsidRDefault="00E81497" w:rsidP="00CF4C4E">
            <w:pPr>
              <w:rPr>
                <w:color w:val="auto"/>
                <w:sz w:val="20"/>
                <w:szCs w:val="20"/>
                <w:lang w:val="en-GB"/>
              </w:rPr>
            </w:pPr>
          </w:p>
        </w:tc>
        <w:tc>
          <w:tcPr>
            <w:tcW w:w="447" w:type="pct"/>
            <w:shd w:val="clear" w:color="auto" w:fill="auto"/>
          </w:tcPr>
          <w:p w:rsidR="00E81497" w:rsidRPr="00CF4C4E" w:rsidRDefault="003F6C47" w:rsidP="00CF4C4E">
            <w:pPr>
              <w:rPr>
                <w:color w:val="auto"/>
                <w:sz w:val="20"/>
                <w:szCs w:val="20"/>
                <w:lang w:val="en-GB"/>
              </w:rPr>
            </w:pPr>
            <w:r w:rsidRPr="00CF4C4E">
              <w:rPr>
                <w:color w:val="auto"/>
                <w:sz w:val="20"/>
                <w:szCs w:val="20"/>
                <w:lang w:val="en-GB"/>
              </w:rPr>
              <w:t>IV quarter of 2022</w:t>
            </w:r>
          </w:p>
        </w:tc>
        <w:tc>
          <w:tcPr>
            <w:tcW w:w="605" w:type="pct"/>
            <w:shd w:val="clear" w:color="auto" w:fill="auto"/>
          </w:tcPr>
          <w:p w:rsidR="000553F1" w:rsidRPr="00CF4C4E" w:rsidRDefault="000553F1" w:rsidP="00CF4C4E">
            <w:pPr>
              <w:rPr>
                <w:color w:val="auto"/>
                <w:sz w:val="20"/>
                <w:szCs w:val="20"/>
                <w:lang w:val="en-GB"/>
              </w:rPr>
            </w:pPr>
            <w:r w:rsidRPr="00CF4C4E">
              <w:rPr>
                <w:color w:val="auto"/>
                <w:sz w:val="20"/>
                <w:szCs w:val="20"/>
                <w:lang w:val="en-GB"/>
              </w:rPr>
              <w:t>Financed as part of regular activities of staff</w:t>
            </w:r>
          </w:p>
          <w:p w:rsidR="000553F1" w:rsidRPr="00CF4C4E" w:rsidRDefault="000553F1" w:rsidP="00CF4C4E">
            <w:pPr>
              <w:rPr>
                <w:color w:val="auto"/>
                <w:sz w:val="20"/>
                <w:szCs w:val="20"/>
                <w:lang w:val="en-GB"/>
              </w:rPr>
            </w:pPr>
          </w:p>
          <w:p w:rsidR="00E81497" w:rsidRPr="00CF4C4E" w:rsidRDefault="000553F1" w:rsidP="00CF4C4E">
            <w:pPr>
              <w:rPr>
                <w:color w:val="auto"/>
                <w:sz w:val="20"/>
                <w:szCs w:val="20"/>
                <w:lang w:val="en-GB"/>
              </w:rPr>
            </w:pPr>
            <w:r w:rsidRPr="00CF4C4E">
              <w:rPr>
                <w:color w:val="auto"/>
                <w:sz w:val="20"/>
                <w:szCs w:val="20"/>
                <w:lang w:val="en-GB"/>
              </w:rPr>
              <w:t>Domestic and international donor funds</w:t>
            </w:r>
          </w:p>
        </w:tc>
        <w:tc>
          <w:tcPr>
            <w:tcW w:w="446" w:type="pct"/>
            <w:shd w:val="clear" w:color="auto" w:fill="auto"/>
          </w:tcPr>
          <w:p w:rsidR="00E81497" w:rsidRPr="00CF4C4E" w:rsidRDefault="00E81497" w:rsidP="00CF4C4E">
            <w:pPr>
              <w:rPr>
                <w:color w:val="FF0000"/>
                <w:sz w:val="20"/>
                <w:szCs w:val="20"/>
                <w:lang w:val="en-GB"/>
              </w:rPr>
            </w:pPr>
          </w:p>
        </w:tc>
        <w:tc>
          <w:tcPr>
            <w:tcW w:w="541" w:type="pct"/>
            <w:shd w:val="clear" w:color="auto" w:fill="auto"/>
          </w:tcPr>
          <w:p w:rsidR="00E81497" w:rsidRPr="00CF4C4E" w:rsidRDefault="00E81497" w:rsidP="00CF4C4E">
            <w:pPr>
              <w:rPr>
                <w:color w:val="FF0000"/>
                <w:sz w:val="20"/>
                <w:szCs w:val="20"/>
                <w:lang w:val="en-GB"/>
              </w:rPr>
            </w:pPr>
          </w:p>
        </w:tc>
        <w:tc>
          <w:tcPr>
            <w:tcW w:w="510" w:type="pct"/>
            <w:shd w:val="clear" w:color="auto" w:fill="auto"/>
          </w:tcPr>
          <w:p w:rsidR="00E81497" w:rsidRPr="00CF4C4E" w:rsidRDefault="00E81497" w:rsidP="00CF4C4E">
            <w:pPr>
              <w:rPr>
                <w:color w:val="FF0000"/>
                <w:sz w:val="20"/>
                <w:szCs w:val="20"/>
                <w:lang w:val="en-GB"/>
              </w:rPr>
            </w:pPr>
          </w:p>
        </w:tc>
        <w:tc>
          <w:tcPr>
            <w:tcW w:w="528" w:type="pct"/>
            <w:shd w:val="clear" w:color="auto" w:fill="auto"/>
          </w:tcPr>
          <w:p w:rsidR="00E81497" w:rsidRPr="00CF4C4E" w:rsidRDefault="00E81497" w:rsidP="00CF4C4E">
            <w:pPr>
              <w:rPr>
                <w:color w:val="FF0000"/>
                <w:sz w:val="20"/>
                <w:szCs w:val="20"/>
                <w:lang w:val="en-GB"/>
              </w:rPr>
            </w:pPr>
          </w:p>
        </w:tc>
      </w:tr>
    </w:tbl>
    <w:p w:rsidR="00566361" w:rsidRPr="00CF4C4E" w:rsidRDefault="00566361" w:rsidP="00CF4C4E">
      <w:pPr>
        <w:rPr>
          <w:sz w:val="20"/>
          <w:szCs w:val="20"/>
          <w:lang w:val="en-GB"/>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1480"/>
        <w:gridCol w:w="1440"/>
        <w:gridCol w:w="993"/>
        <w:gridCol w:w="781"/>
        <w:gridCol w:w="1717"/>
        <w:gridCol w:w="1548"/>
        <w:gridCol w:w="1273"/>
        <w:gridCol w:w="1675"/>
      </w:tblGrid>
      <w:tr w:rsidR="00E81497" w:rsidRPr="00CF4C4E" w:rsidTr="00C11F8E">
        <w:trPr>
          <w:trHeight w:val="308"/>
        </w:trPr>
        <w:tc>
          <w:tcPr>
            <w:tcW w:w="5000" w:type="pct"/>
            <w:gridSpan w:val="9"/>
            <w:tcBorders>
              <w:top w:val="double" w:sz="4" w:space="0" w:color="auto"/>
              <w:left w:val="double" w:sz="4" w:space="0" w:color="auto"/>
              <w:right w:val="double" w:sz="4" w:space="0" w:color="auto"/>
            </w:tcBorders>
            <w:shd w:val="clear" w:color="auto" w:fill="F7CAAC"/>
            <w:vAlign w:val="center"/>
          </w:tcPr>
          <w:p w:rsidR="00E81497" w:rsidRPr="00CF4C4E" w:rsidRDefault="006301B6" w:rsidP="00CF4C4E">
            <w:pPr>
              <w:pStyle w:val="Heading3"/>
              <w:spacing w:before="0"/>
              <w:rPr>
                <w:rFonts w:cs="Times New Roman"/>
                <w:szCs w:val="20"/>
                <w:lang w:val="en-GB"/>
              </w:rPr>
            </w:pPr>
            <w:bookmarkStart w:id="18" w:name="_Toc32409922"/>
            <w:r w:rsidRPr="00CF4C4E">
              <w:rPr>
                <w:rFonts w:cs="Times New Roman"/>
                <w:szCs w:val="20"/>
                <w:lang w:val="en-GB"/>
              </w:rPr>
              <w:t>Measure 4.4:</w:t>
            </w:r>
            <w:r w:rsidRPr="00CF4C4E">
              <w:rPr>
                <w:rFonts w:cs="Times New Roman"/>
                <w:b w:val="0"/>
                <w:bCs w:val="0"/>
                <w:szCs w:val="20"/>
                <w:lang w:val="en-GB"/>
              </w:rPr>
              <w:t xml:space="preserve"> </w:t>
            </w:r>
            <w:r w:rsidRPr="00CF4C4E">
              <w:rPr>
                <w:rFonts w:cs="Times New Roman"/>
                <w:szCs w:val="20"/>
                <w:lang w:val="en-GB"/>
              </w:rPr>
              <w:t>Improvement and efficient implementation of the legislative framework governing the prevention of terrorism financing</w:t>
            </w:r>
            <w:bookmarkEnd w:id="18"/>
          </w:p>
        </w:tc>
      </w:tr>
      <w:tr w:rsidR="00E81497" w:rsidRPr="00CF4C4E" w:rsidTr="00C11F8E">
        <w:trPr>
          <w:trHeight w:val="351"/>
        </w:trPr>
        <w:tc>
          <w:tcPr>
            <w:tcW w:w="5000" w:type="pct"/>
            <w:gridSpan w:val="9"/>
            <w:tcBorders>
              <w:top w:val="double" w:sz="4" w:space="0" w:color="auto"/>
              <w:left w:val="double" w:sz="4" w:space="0" w:color="auto"/>
              <w:bottom w:val="double" w:sz="4" w:space="0" w:color="auto"/>
              <w:right w:val="double" w:sz="4" w:space="0" w:color="auto"/>
            </w:tcBorders>
            <w:shd w:val="clear" w:color="auto" w:fill="F7CAAC"/>
            <w:vAlign w:val="center"/>
          </w:tcPr>
          <w:p w:rsidR="00E81497" w:rsidRPr="00CF4C4E" w:rsidRDefault="00E81497" w:rsidP="00CF4C4E">
            <w:pPr>
              <w:rPr>
                <w:sz w:val="20"/>
                <w:szCs w:val="20"/>
                <w:lang w:val="en-GB"/>
              </w:rPr>
            </w:pPr>
            <w:r w:rsidRPr="00CF4C4E">
              <w:rPr>
                <w:sz w:val="20"/>
                <w:szCs w:val="20"/>
                <w:lang w:val="en-GB"/>
              </w:rPr>
              <w:t>Authority responsible for implementation (coordination of implementation) of the measure:</w:t>
            </w:r>
            <w:r w:rsidRPr="00CF4C4E">
              <w:rPr>
                <w:color w:val="222222"/>
                <w:sz w:val="20"/>
                <w:szCs w:val="20"/>
                <w:lang w:val="en-GB"/>
              </w:rPr>
              <w:t>Coordination Body for the Prevention of Money Laundering and the Financing of Terrorism (AML/CFT CB)</w:t>
            </w:r>
          </w:p>
        </w:tc>
      </w:tr>
      <w:tr w:rsidR="00E81497" w:rsidRPr="00CF4C4E" w:rsidTr="00B5332F">
        <w:trPr>
          <w:trHeight w:val="258"/>
        </w:trPr>
        <w:tc>
          <w:tcPr>
            <w:tcW w:w="2528" w:type="pct"/>
            <w:gridSpan w:val="4"/>
            <w:tcBorders>
              <w:top w:val="double" w:sz="4" w:space="0" w:color="auto"/>
              <w:left w:val="double" w:sz="4" w:space="0" w:color="auto"/>
              <w:bottom w:val="double" w:sz="4" w:space="0" w:color="auto"/>
              <w:right w:val="double" w:sz="4" w:space="0" w:color="auto"/>
            </w:tcBorders>
            <w:shd w:val="clear" w:color="auto" w:fill="F7CAAC"/>
            <w:vAlign w:val="center"/>
          </w:tcPr>
          <w:p w:rsidR="00E81497" w:rsidRPr="00CF4C4E" w:rsidRDefault="00E81497" w:rsidP="00CF4C4E">
            <w:pPr>
              <w:rPr>
                <w:sz w:val="20"/>
                <w:szCs w:val="20"/>
                <w:lang w:val="en-GB"/>
              </w:rPr>
            </w:pPr>
            <w:r w:rsidRPr="00CF4C4E">
              <w:rPr>
                <w:sz w:val="20"/>
                <w:szCs w:val="20"/>
                <w:lang w:val="en-GB"/>
              </w:rPr>
              <w:t>Implementation period: 2020-2022</w:t>
            </w:r>
          </w:p>
        </w:tc>
        <w:tc>
          <w:tcPr>
            <w:tcW w:w="2472" w:type="pct"/>
            <w:gridSpan w:val="5"/>
            <w:tcBorders>
              <w:top w:val="double" w:sz="4" w:space="0" w:color="auto"/>
              <w:left w:val="double" w:sz="4" w:space="0" w:color="auto"/>
              <w:bottom w:val="double" w:sz="4" w:space="0" w:color="auto"/>
              <w:right w:val="double" w:sz="4" w:space="0" w:color="auto"/>
            </w:tcBorders>
            <w:shd w:val="clear" w:color="auto" w:fill="F7CAAC"/>
            <w:vAlign w:val="center"/>
          </w:tcPr>
          <w:p w:rsidR="00E81497" w:rsidRPr="00CF4C4E" w:rsidRDefault="00E81497" w:rsidP="00CF4C4E">
            <w:pPr>
              <w:rPr>
                <w:sz w:val="20"/>
                <w:szCs w:val="20"/>
                <w:lang w:val="en-GB"/>
              </w:rPr>
            </w:pPr>
            <w:r w:rsidRPr="00CF4C4E">
              <w:rPr>
                <w:sz w:val="20"/>
                <w:szCs w:val="20"/>
                <w:lang w:val="en-GB"/>
              </w:rPr>
              <w:t>Type of measure: Institutional/managerial/organisational</w:t>
            </w:r>
          </w:p>
        </w:tc>
      </w:tr>
      <w:tr w:rsidR="00F3347F" w:rsidRPr="00CF4C4E" w:rsidTr="00CB13E8">
        <w:trPr>
          <w:trHeight w:val="596"/>
        </w:trPr>
        <w:tc>
          <w:tcPr>
            <w:tcW w:w="1145" w:type="pct"/>
            <w:tcBorders>
              <w:top w:val="double" w:sz="4" w:space="0" w:color="auto"/>
            </w:tcBorders>
            <w:shd w:val="clear" w:color="auto" w:fill="D9D9D9"/>
            <w:vAlign w:val="center"/>
          </w:tcPr>
          <w:p w:rsidR="00F3347F" w:rsidRPr="00CF4C4E" w:rsidRDefault="00F3347F" w:rsidP="00CF4C4E">
            <w:pPr>
              <w:rPr>
                <w:sz w:val="20"/>
                <w:szCs w:val="20"/>
                <w:lang w:val="en-GB"/>
              </w:rPr>
            </w:pPr>
            <w:r w:rsidRPr="00CF4C4E">
              <w:rPr>
                <w:sz w:val="20"/>
                <w:szCs w:val="20"/>
                <w:lang w:val="en-GB"/>
              </w:rPr>
              <w:t>Indicator(s) at the level of measure (result indicator):</w:t>
            </w:r>
          </w:p>
        </w:tc>
        <w:tc>
          <w:tcPr>
            <w:tcW w:w="523" w:type="pct"/>
            <w:tcBorders>
              <w:top w:val="double" w:sz="4" w:space="0" w:color="auto"/>
            </w:tcBorders>
            <w:shd w:val="clear" w:color="auto" w:fill="D9D9D9"/>
            <w:vAlign w:val="center"/>
          </w:tcPr>
          <w:p w:rsidR="00F3347F" w:rsidRPr="00CF4C4E" w:rsidRDefault="00F3347F" w:rsidP="00CF4C4E">
            <w:pPr>
              <w:rPr>
                <w:sz w:val="20"/>
                <w:szCs w:val="20"/>
                <w:lang w:val="en-GB"/>
              </w:rPr>
            </w:pPr>
            <w:r w:rsidRPr="00CF4C4E">
              <w:rPr>
                <w:sz w:val="20"/>
                <w:szCs w:val="20"/>
                <w:lang w:val="en-GB"/>
              </w:rPr>
              <w:t>Unit of measurement</w:t>
            </w:r>
          </w:p>
          <w:p w:rsidR="00F3347F" w:rsidRPr="00CF4C4E" w:rsidRDefault="00F3347F" w:rsidP="00CF4C4E">
            <w:pPr>
              <w:rPr>
                <w:sz w:val="20"/>
                <w:szCs w:val="20"/>
                <w:lang w:val="en-GB"/>
              </w:rPr>
            </w:pPr>
          </w:p>
        </w:tc>
        <w:tc>
          <w:tcPr>
            <w:tcW w:w="509" w:type="pct"/>
            <w:tcBorders>
              <w:top w:val="double" w:sz="4" w:space="0" w:color="auto"/>
            </w:tcBorders>
            <w:shd w:val="clear" w:color="auto" w:fill="D9D9D9"/>
            <w:vAlign w:val="center"/>
          </w:tcPr>
          <w:p w:rsidR="00F3347F" w:rsidRPr="00CF4C4E" w:rsidRDefault="00F3347F" w:rsidP="00CF4C4E">
            <w:pPr>
              <w:rPr>
                <w:sz w:val="20"/>
                <w:szCs w:val="20"/>
                <w:lang w:val="en-GB"/>
              </w:rPr>
            </w:pPr>
            <w:r w:rsidRPr="00CF4C4E">
              <w:rPr>
                <w:sz w:val="20"/>
                <w:szCs w:val="20"/>
                <w:lang w:val="en-GB"/>
              </w:rPr>
              <w:t>Source of verification</w:t>
            </w:r>
          </w:p>
        </w:tc>
        <w:tc>
          <w:tcPr>
            <w:tcW w:w="627" w:type="pct"/>
            <w:gridSpan w:val="2"/>
            <w:tcBorders>
              <w:top w:val="double" w:sz="4" w:space="0" w:color="auto"/>
            </w:tcBorders>
            <w:shd w:val="clear" w:color="auto" w:fill="D9D9D9"/>
            <w:vAlign w:val="center"/>
          </w:tcPr>
          <w:p w:rsidR="00F3347F" w:rsidRPr="00CF4C4E" w:rsidRDefault="00F3347F" w:rsidP="00CF4C4E">
            <w:pPr>
              <w:rPr>
                <w:sz w:val="20"/>
                <w:szCs w:val="20"/>
                <w:lang w:val="en-GB"/>
              </w:rPr>
            </w:pPr>
            <w:r w:rsidRPr="00CF4C4E">
              <w:rPr>
                <w:sz w:val="20"/>
                <w:szCs w:val="20"/>
                <w:lang w:val="en-GB"/>
              </w:rPr>
              <w:t xml:space="preserve">Base value </w:t>
            </w:r>
          </w:p>
        </w:tc>
        <w:tc>
          <w:tcPr>
            <w:tcW w:w="607" w:type="pct"/>
            <w:tcBorders>
              <w:top w:val="double" w:sz="4" w:space="0" w:color="auto"/>
            </w:tcBorders>
            <w:shd w:val="clear" w:color="auto" w:fill="D9D9D9"/>
            <w:vAlign w:val="center"/>
          </w:tcPr>
          <w:p w:rsidR="00F3347F" w:rsidRPr="00CF4C4E" w:rsidRDefault="00F3347F" w:rsidP="00CF4C4E">
            <w:pPr>
              <w:rPr>
                <w:sz w:val="20"/>
                <w:szCs w:val="20"/>
                <w:lang w:val="en-GB"/>
              </w:rPr>
            </w:pPr>
            <w:r w:rsidRPr="00CF4C4E">
              <w:rPr>
                <w:sz w:val="20"/>
                <w:szCs w:val="20"/>
                <w:lang w:val="en-GB"/>
              </w:rPr>
              <w:t>Base year</w:t>
            </w:r>
          </w:p>
        </w:tc>
        <w:tc>
          <w:tcPr>
            <w:tcW w:w="547" w:type="pct"/>
            <w:tcBorders>
              <w:top w:val="double" w:sz="4" w:space="0" w:color="auto"/>
            </w:tcBorders>
            <w:shd w:val="clear" w:color="auto" w:fill="D9D9D9"/>
          </w:tcPr>
          <w:p w:rsidR="00F3347F" w:rsidRPr="00CF4C4E" w:rsidRDefault="00F3347F" w:rsidP="00CF4C4E">
            <w:pPr>
              <w:rPr>
                <w:sz w:val="20"/>
                <w:szCs w:val="20"/>
                <w:lang w:val="en-GB"/>
              </w:rPr>
            </w:pPr>
            <w:r w:rsidRPr="00CF4C4E">
              <w:rPr>
                <w:sz w:val="20"/>
                <w:szCs w:val="20"/>
                <w:lang w:val="en-GB"/>
              </w:rPr>
              <w:t>Target value in 2020</w:t>
            </w:r>
          </w:p>
        </w:tc>
        <w:tc>
          <w:tcPr>
            <w:tcW w:w="450" w:type="pct"/>
            <w:tcBorders>
              <w:top w:val="double" w:sz="4" w:space="0" w:color="auto"/>
              <w:right w:val="double" w:sz="4" w:space="0" w:color="auto"/>
            </w:tcBorders>
            <w:shd w:val="clear" w:color="auto" w:fill="D9D9D9"/>
          </w:tcPr>
          <w:p w:rsidR="00F3347F" w:rsidRPr="00CF4C4E" w:rsidRDefault="00F3347F" w:rsidP="00CF4C4E">
            <w:pPr>
              <w:rPr>
                <w:sz w:val="20"/>
                <w:szCs w:val="20"/>
                <w:lang w:val="en-GB"/>
              </w:rPr>
            </w:pPr>
            <w:r w:rsidRPr="00CF4C4E">
              <w:rPr>
                <w:sz w:val="20"/>
                <w:szCs w:val="20"/>
                <w:lang w:val="en-GB"/>
              </w:rPr>
              <w:t>Target value in 2021</w:t>
            </w:r>
          </w:p>
        </w:tc>
        <w:tc>
          <w:tcPr>
            <w:tcW w:w="592" w:type="pct"/>
            <w:tcBorders>
              <w:top w:val="double" w:sz="4" w:space="0" w:color="auto"/>
              <w:right w:val="double" w:sz="4" w:space="0" w:color="auto"/>
            </w:tcBorders>
            <w:shd w:val="clear" w:color="auto" w:fill="D9D9D9"/>
          </w:tcPr>
          <w:p w:rsidR="00F3347F" w:rsidRPr="00CF4C4E" w:rsidRDefault="00885F9C" w:rsidP="00CF4C4E">
            <w:pPr>
              <w:rPr>
                <w:sz w:val="20"/>
                <w:szCs w:val="20"/>
                <w:lang w:val="en-GB"/>
              </w:rPr>
            </w:pPr>
            <w:r w:rsidRPr="00CF4C4E">
              <w:rPr>
                <w:sz w:val="20"/>
                <w:szCs w:val="20"/>
                <w:lang w:val="en-GB"/>
              </w:rPr>
              <w:t>Target value in 2022</w:t>
            </w:r>
          </w:p>
        </w:tc>
      </w:tr>
      <w:tr w:rsidR="00B5332F" w:rsidRPr="00CF4C4E" w:rsidTr="00B5332F">
        <w:trPr>
          <w:trHeight w:val="339"/>
        </w:trPr>
        <w:tc>
          <w:tcPr>
            <w:tcW w:w="1145" w:type="pct"/>
            <w:tcBorders>
              <w:top w:val="double" w:sz="4" w:space="0" w:color="auto"/>
            </w:tcBorders>
            <w:shd w:val="clear" w:color="auto" w:fill="FFFFFF"/>
            <w:vAlign w:val="center"/>
          </w:tcPr>
          <w:p w:rsidR="00B5332F" w:rsidRPr="00CF4C4E" w:rsidRDefault="00B5332F" w:rsidP="00CF4C4E">
            <w:pPr>
              <w:shd w:val="clear" w:color="auto" w:fill="FFFFFF"/>
              <w:rPr>
                <w:sz w:val="20"/>
                <w:szCs w:val="20"/>
                <w:highlight w:val="yellow"/>
                <w:lang w:val="en-GB"/>
              </w:rPr>
            </w:pPr>
            <w:r w:rsidRPr="00CF4C4E">
              <w:rPr>
                <w:sz w:val="20"/>
                <w:szCs w:val="20"/>
                <w:lang w:val="en-GB"/>
              </w:rPr>
              <w:t xml:space="preserve">Assessment of compliance with </w:t>
            </w:r>
            <w:r w:rsidRPr="00CF4C4E">
              <w:rPr>
                <w:sz w:val="20"/>
                <w:szCs w:val="20"/>
                <w:lang w:val="en-GB"/>
              </w:rPr>
              <w:lastRenderedPageBreak/>
              <w:t>relevant international standards, annually</w:t>
            </w:r>
          </w:p>
        </w:tc>
        <w:tc>
          <w:tcPr>
            <w:tcW w:w="523" w:type="pct"/>
            <w:tcBorders>
              <w:top w:val="double" w:sz="4" w:space="0" w:color="auto"/>
            </w:tcBorders>
            <w:shd w:val="clear" w:color="auto" w:fill="FFFFFF"/>
            <w:vAlign w:val="center"/>
          </w:tcPr>
          <w:p w:rsidR="00B5332F" w:rsidRPr="00CF4C4E" w:rsidRDefault="00B5332F" w:rsidP="00CF4C4E">
            <w:pPr>
              <w:shd w:val="clear" w:color="auto" w:fill="FFFFFF" w:themeFill="background1"/>
              <w:rPr>
                <w:color w:val="auto"/>
                <w:sz w:val="20"/>
                <w:szCs w:val="20"/>
                <w:lang w:val="en-GB"/>
              </w:rPr>
            </w:pPr>
            <w:r w:rsidRPr="00CF4C4E">
              <w:rPr>
                <w:color w:val="auto"/>
                <w:sz w:val="20"/>
                <w:szCs w:val="20"/>
                <w:lang w:val="en-GB"/>
              </w:rPr>
              <w:lastRenderedPageBreak/>
              <w:t>a) non-</w:t>
            </w:r>
            <w:r w:rsidRPr="00CF4C4E">
              <w:rPr>
                <w:color w:val="auto"/>
                <w:sz w:val="20"/>
                <w:szCs w:val="20"/>
                <w:lang w:val="en-GB"/>
              </w:rPr>
              <w:lastRenderedPageBreak/>
              <w:t>compliant</w:t>
            </w:r>
          </w:p>
          <w:p w:rsidR="00B5332F" w:rsidRPr="00CF4C4E" w:rsidRDefault="00E626ED" w:rsidP="00CF4C4E">
            <w:pPr>
              <w:shd w:val="clear" w:color="auto" w:fill="FFFFFF" w:themeFill="background1"/>
              <w:rPr>
                <w:color w:val="auto"/>
                <w:sz w:val="20"/>
                <w:szCs w:val="20"/>
                <w:lang w:val="en-GB"/>
              </w:rPr>
            </w:pPr>
            <w:r w:rsidRPr="00CF4C4E">
              <w:rPr>
                <w:color w:val="auto"/>
                <w:sz w:val="20"/>
                <w:szCs w:val="20"/>
                <w:lang w:val="en-GB"/>
              </w:rPr>
              <w:t>b) partially compliant</w:t>
            </w:r>
          </w:p>
          <w:p w:rsidR="00B5332F" w:rsidRPr="00CF4C4E" w:rsidRDefault="00B5332F" w:rsidP="00CF4C4E">
            <w:pPr>
              <w:shd w:val="clear" w:color="auto" w:fill="FFFFFF" w:themeFill="background1"/>
              <w:rPr>
                <w:color w:val="auto"/>
                <w:sz w:val="20"/>
                <w:szCs w:val="20"/>
                <w:lang w:val="en-GB"/>
              </w:rPr>
            </w:pPr>
            <w:r w:rsidRPr="00CF4C4E">
              <w:rPr>
                <w:color w:val="auto"/>
                <w:sz w:val="20"/>
                <w:szCs w:val="20"/>
                <w:lang w:val="en-GB"/>
              </w:rPr>
              <w:t>c) largely compliant</w:t>
            </w:r>
          </w:p>
          <w:p w:rsidR="00B5332F" w:rsidRPr="00CF4C4E" w:rsidRDefault="00B5332F" w:rsidP="00CF4C4E">
            <w:pPr>
              <w:shd w:val="clear" w:color="auto" w:fill="FFFFFF" w:themeFill="background1"/>
              <w:rPr>
                <w:color w:val="auto"/>
                <w:sz w:val="20"/>
                <w:szCs w:val="20"/>
                <w:lang w:val="en-GB"/>
              </w:rPr>
            </w:pPr>
            <w:r w:rsidRPr="00CF4C4E">
              <w:rPr>
                <w:color w:val="auto"/>
                <w:sz w:val="20"/>
                <w:szCs w:val="20"/>
                <w:lang w:val="en-GB"/>
              </w:rPr>
              <w:t>d) compliant</w:t>
            </w:r>
          </w:p>
        </w:tc>
        <w:tc>
          <w:tcPr>
            <w:tcW w:w="509" w:type="pct"/>
            <w:tcBorders>
              <w:top w:val="double" w:sz="4" w:space="0" w:color="auto"/>
            </w:tcBorders>
            <w:shd w:val="clear" w:color="auto" w:fill="FFFFFF"/>
            <w:vAlign w:val="center"/>
          </w:tcPr>
          <w:p w:rsidR="00B5332F" w:rsidRPr="00CF4C4E" w:rsidRDefault="00B5332F" w:rsidP="00CF4C4E">
            <w:pPr>
              <w:shd w:val="clear" w:color="auto" w:fill="FFFFFF"/>
              <w:rPr>
                <w:sz w:val="20"/>
                <w:szCs w:val="20"/>
                <w:lang w:val="en-GB"/>
              </w:rPr>
            </w:pPr>
            <w:r w:rsidRPr="00CF4C4E">
              <w:rPr>
                <w:sz w:val="20"/>
                <w:szCs w:val="20"/>
                <w:lang w:val="en-GB"/>
              </w:rPr>
              <w:lastRenderedPageBreak/>
              <w:t xml:space="preserve">Reports by </w:t>
            </w:r>
            <w:r w:rsidRPr="00CF4C4E">
              <w:rPr>
                <w:sz w:val="20"/>
                <w:szCs w:val="20"/>
                <w:lang w:val="en-GB"/>
              </w:rPr>
              <w:lastRenderedPageBreak/>
              <w:t>competent authorities; Reports of relevant international organisations</w:t>
            </w:r>
          </w:p>
        </w:tc>
        <w:tc>
          <w:tcPr>
            <w:tcW w:w="627" w:type="pct"/>
            <w:gridSpan w:val="2"/>
            <w:tcBorders>
              <w:top w:val="double" w:sz="4" w:space="0" w:color="auto"/>
            </w:tcBorders>
            <w:shd w:val="clear" w:color="auto" w:fill="FFFFFF"/>
            <w:vAlign w:val="center"/>
          </w:tcPr>
          <w:p w:rsidR="00B5332F" w:rsidRPr="00CF4C4E" w:rsidRDefault="00B5332F" w:rsidP="00CF4C4E">
            <w:pPr>
              <w:shd w:val="clear" w:color="auto" w:fill="FFFFFF"/>
              <w:rPr>
                <w:sz w:val="20"/>
                <w:szCs w:val="20"/>
                <w:lang w:val="en-GB"/>
              </w:rPr>
            </w:pPr>
            <w:r w:rsidRPr="00CF4C4E">
              <w:rPr>
                <w:sz w:val="20"/>
                <w:szCs w:val="20"/>
                <w:lang w:val="en-GB"/>
              </w:rPr>
              <w:lastRenderedPageBreak/>
              <w:t xml:space="preserve">Framework is </w:t>
            </w:r>
            <w:r w:rsidRPr="00CF4C4E">
              <w:rPr>
                <w:sz w:val="20"/>
                <w:szCs w:val="20"/>
                <w:lang w:val="en-GB"/>
              </w:rPr>
              <w:lastRenderedPageBreak/>
              <w:t>largely compliant</w:t>
            </w:r>
          </w:p>
        </w:tc>
        <w:tc>
          <w:tcPr>
            <w:tcW w:w="607" w:type="pct"/>
            <w:tcBorders>
              <w:top w:val="double" w:sz="4" w:space="0" w:color="auto"/>
            </w:tcBorders>
            <w:shd w:val="clear" w:color="auto" w:fill="FFFFFF"/>
            <w:vAlign w:val="center"/>
          </w:tcPr>
          <w:p w:rsidR="00B5332F" w:rsidRPr="00CF4C4E" w:rsidRDefault="00B5332F" w:rsidP="00CF4C4E">
            <w:pPr>
              <w:shd w:val="clear" w:color="auto" w:fill="FFFFFF"/>
              <w:rPr>
                <w:sz w:val="20"/>
                <w:szCs w:val="20"/>
                <w:lang w:val="en-GB"/>
              </w:rPr>
            </w:pPr>
            <w:r w:rsidRPr="00CF4C4E">
              <w:rPr>
                <w:sz w:val="20"/>
                <w:szCs w:val="20"/>
                <w:lang w:val="en-GB"/>
              </w:rPr>
              <w:lastRenderedPageBreak/>
              <w:t>2019</w:t>
            </w:r>
          </w:p>
        </w:tc>
        <w:tc>
          <w:tcPr>
            <w:tcW w:w="547" w:type="pct"/>
            <w:tcBorders>
              <w:top w:val="double" w:sz="4" w:space="0" w:color="auto"/>
            </w:tcBorders>
            <w:shd w:val="clear" w:color="auto" w:fill="FFFFFF"/>
            <w:vAlign w:val="center"/>
          </w:tcPr>
          <w:p w:rsidR="00B5332F" w:rsidRPr="00CF4C4E" w:rsidRDefault="00B5332F" w:rsidP="00CF4C4E">
            <w:pPr>
              <w:shd w:val="clear" w:color="auto" w:fill="FFFFFF"/>
              <w:rPr>
                <w:sz w:val="20"/>
                <w:szCs w:val="20"/>
                <w:lang w:val="en-GB"/>
              </w:rPr>
            </w:pPr>
            <w:r w:rsidRPr="00CF4C4E">
              <w:rPr>
                <w:sz w:val="20"/>
                <w:szCs w:val="20"/>
                <w:lang w:val="en-GB"/>
              </w:rPr>
              <w:t xml:space="preserve">At least largely </w:t>
            </w:r>
            <w:r w:rsidRPr="00CF4C4E">
              <w:rPr>
                <w:sz w:val="20"/>
                <w:szCs w:val="20"/>
                <w:lang w:val="en-GB"/>
              </w:rPr>
              <w:lastRenderedPageBreak/>
              <w:t>compliant</w:t>
            </w:r>
          </w:p>
        </w:tc>
        <w:tc>
          <w:tcPr>
            <w:tcW w:w="450" w:type="pct"/>
            <w:tcBorders>
              <w:top w:val="double" w:sz="4" w:space="0" w:color="auto"/>
              <w:right w:val="double" w:sz="4" w:space="0" w:color="auto"/>
            </w:tcBorders>
            <w:shd w:val="clear" w:color="auto" w:fill="FFFFFF"/>
            <w:vAlign w:val="center"/>
          </w:tcPr>
          <w:p w:rsidR="00B5332F" w:rsidRPr="00CF4C4E" w:rsidRDefault="00B5332F" w:rsidP="00CF4C4E">
            <w:pPr>
              <w:shd w:val="clear" w:color="auto" w:fill="FFFFFF"/>
              <w:rPr>
                <w:sz w:val="20"/>
                <w:szCs w:val="20"/>
                <w:lang w:val="en-GB"/>
              </w:rPr>
            </w:pPr>
            <w:r w:rsidRPr="00CF4C4E">
              <w:rPr>
                <w:sz w:val="20"/>
                <w:szCs w:val="20"/>
                <w:lang w:val="en-GB"/>
              </w:rPr>
              <w:lastRenderedPageBreak/>
              <w:t xml:space="preserve">At least </w:t>
            </w:r>
            <w:r w:rsidRPr="00CF4C4E">
              <w:rPr>
                <w:sz w:val="20"/>
                <w:szCs w:val="20"/>
                <w:lang w:val="en-GB"/>
              </w:rPr>
              <w:lastRenderedPageBreak/>
              <w:t>largely compliant</w:t>
            </w:r>
          </w:p>
        </w:tc>
        <w:tc>
          <w:tcPr>
            <w:tcW w:w="592" w:type="pct"/>
            <w:tcBorders>
              <w:top w:val="double" w:sz="4" w:space="0" w:color="auto"/>
              <w:right w:val="double" w:sz="4" w:space="0" w:color="auto"/>
            </w:tcBorders>
            <w:shd w:val="clear" w:color="auto" w:fill="FFFFFF"/>
            <w:vAlign w:val="center"/>
          </w:tcPr>
          <w:p w:rsidR="00B5332F" w:rsidRPr="00CF4C4E" w:rsidRDefault="00B5332F" w:rsidP="00CF4C4E">
            <w:pPr>
              <w:shd w:val="clear" w:color="auto" w:fill="FFFFFF"/>
              <w:rPr>
                <w:sz w:val="20"/>
                <w:szCs w:val="20"/>
                <w:lang w:val="en-GB"/>
              </w:rPr>
            </w:pPr>
            <w:r w:rsidRPr="00CF4C4E">
              <w:rPr>
                <w:sz w:val="20"/>
                <w:szCs w:val="20"/>
                <w:lang w:val="en-GB"/>
              </w:rPr>
              <w:lastRenderedPageBreak/>
              <w:t xml:space="preserve">At least largely </w:t>
            </w:r>
            <w:r w:rsidRPr="00CF4C4E">
              <w:rPr>
                <w:sz w:val="20"/>
                <w:szCs w:val="20"/>
                <w:lang w:val="en-GB"/>
              </w:rPr>
              <w:lastRenderedPageBreak/>
              <w:t>compliant</w:t>
            </w:r>
          </w:p>
        </w:tc>
      </w:tr>
    </w:tbl>
    <w:p w:rsidR="00FC4AE1" w:rsidRPr="00CF4C4E" w:rsidRDefault="00FC4AE1" w:rsidP="00CF4C4E">
      <w:pPr>
        <w:rPr>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2"/>
        <w:gridCol w:w="1145"/>
        <w:gridCol w:w="1242"/>
        <w:gridCol w:w="1162"/>
        <w:gridCol w:w="1573"/>
        <w:gridCol w:w="1160"/>
        <w:gridCol w:w="1956"/>
        <w:gridCol w:w="1525"/>
        <w:gridCol w:w="2010"/>
      </w:tblGrid>
      <w:tr w:rsidR="006E272C" w:rsidRPr="00CF4C4E" w:rsidTr="006E272C">
        <w:trPr>
          <w:trHeight w:val="140"/>
        </w:trPr>
        <w:tc>
          <w:tcPr>
            <w:tcW w:w="847" w:type="pct"/>
            <w:vMerge w:val="restart"/>
            <w:tcBorders>
              <w:top w:val="double" w:sz="4" w:space="0" w:color="auto"/>
              <w:left w:val="double" w:sz="4" w:space="0" w:color="auto"/>
            </w:tcBorders>
            <w:shd w:val="clear" w:color="auto" w:fill="E5DFEC" w:themeFill="accent4" w:themeFillTint="33"/>
          </w:tcPr>
          <w:p w:rsidR="006E272C" w:rsidRPr="00CF4C4E" w:rsidRDefault="006E272C" w:rsidP="00CF4C4E">
            <w:pPr>
              <w:jc w:val="center"/>
              <w:rPr>
                <w:b/>
                <w:sz w:val="20"/>
                <w:szCs w:val="20"/>
                <w:lang w:val="en-GB"/>
              </w:rPr>
            </w:pPr>
            <w:r w:rsidRPr="00CF4C4E">
              <w:rPr>
                <w:b/>
                <w:bCs/>
                <w:sz w:val="20"/>
                <w:szCs w:val="20"/>
                <w:lang w:val="en-GB"/>
              </w:rPr>
              <w:t>Activity title:</w:t>
            </w:r>
          </w:p>
        </w:tc>
        <w:tc>
          <w:tcPr>
            <w:tcW w:w="404" w:type="pct"/>
            <w:vMerge w:val="restart"/>
            <w:tcBorders>
              <w:top w:val="double" w:sz="4" w:space="0" w:color="auto"/>
            </w:tcBorders>
            <w:shd w:val="clear" w:color="auto" w:fill="E5DFEC" w:themeFill="accent4" w:themeFillTint="33"/>
          </w:tcPr>
          <w:p w:rsidR="006E272C" w:rsidRPr="00CF4C4E" w:rsidRDefault="006E272C" w:rsidP="00CF4C4E">
            <w:pPr>
              <w:jc w:val="center"/>
              <w:rPr>
                <w:b/>
                <w:sz w:val="20"/>
                <w:szCs w:val="20"/>
                <w:lang w:val="en-GB"/>
              </w:rPr>
            </w:pPr>
            <w:r w:rsidRPr="00CF4C4E">
              <w:rPr>
                <w:b/>
                <w:bCs/>
                <w:sz w:val="20"/>
                <w:szCs w:val="20"/>
                <w:lang w:val="en-GB"/>
              </w:rPr>
              <w:t>Authority implementing the activity</w:t>
            </w:r>
          </w:p>
        </w:tc>
        <w:tc>
          <w:tcPr>
            <w:tcW w:w="438" w:type="pct"/>
            <w:vMerge w:val="restart"/>
            <w:tcBorders>
              <w:top w:val="double" w:sz="4" w:space="0" w:color="auto"/>
            </w:tcBorders>
            <w:shd w:val="clear" w:color="auto" w:fill="E5DFEC" w:themeFill="accent4" w:themeFillTint="33"/>
          </w:tcPr>
          <w:p w:rsidR="006E272C" w:rsidRPr="00CF4C4E" w:rsidRDefault="006E272C" w:rsidP="00CF4C4E">
            <w:pPr>
              <w:jc w:val="center"/>
              <w:rPr>
                <w:b/>
                <w:sz w:val="20"/>
                <w:szCs w:val="20"/>
                <w:lang w:val="en-GB"/>
              </w:rPr>
            </w:pPr>
            <w:r w:rsidRPr="00CF4C4E">
              <w:rPr>
                <w:b/>
                <w:bCs/>
                <w:sz w:val="20"/>
                <w:szCs w:val="20"/>
                <w:lang w:val="en-GB"/>
              </w:rPr>
              <w:t>Partners in the implementation of the activity</w:t>
            </w:r>
          </w:p>
        </w:tc>
        <w:tc>
          <w:tcPr>
            <w:tcW w:w="410" w:type="pct"/>
            <w:vMerge w:val="restart"/>
            <w:tcBorders>
              <w:top w:val="double" w:sz="4" w:space="0" w:color="auto"/>
            </w:tcBorders>
            <w:shd w:val="clear" w:color="auto" w:fill="E5DFEC" w:themeFill="accent4" w:themeFillTint="33"/>
          </w:tcPr>
          <w:p w:rsidR="006E272C" w:rsidRPr="00CF4C4E" w:rsidRDefault="006E272C" w:rsidP="00CF4C4E">
            <w:pPr>
              <w:jc w:val="center"/>
              <w:rPr>
                <w:b/>
                <w:sz w:val="20"/>
                <w:szCs w:val="20"/>
                <w:lang w:val="en-GB"/>
              </w:rPr>
            </w:pPr>
            <w:r w:rsidRPr="00CF4C4E">
              <w:rPr>
                <w:b/>
                <w:bCs/>
                <w:sz w:val="20"/>
                <w:szCs w:val="20"/>
                <w:lang w:val="en-GB"/>
              </w:rPr>
              <w:t>Deadline for completion of activity</w:t>
            </w:r>
          </w:p>
        </w:tc>
        <w:tc>
          <w:tcPr>
            <w:tcW w:w="555" w:type="pct"/>
            <w:vMerge w:val="restart"/>
            <w:tcBorders>
              <w:top w:val="double" w:sz="4" w:space="0" w:color="auto"/>
            </w:tcBorders>
            <w:shd w:val="clear" w:color="auto" w:fill="E5DFEC" w:themeFill="accent4" w:themeFillTint="33"/>
          </w:tcPr>
          <w:p w:rsidR="006E272C" w:rsidRPr="00CF4C4E" w:rsidRDefault="006E272C" w:rsidP="00CF4C4E">
            <w:pPr>
              <w:jc w:val="center"/>
              <w:rPr>
                <w:b/>
                <w:sz w:val="20"/>
                <w:szCs w:val="20"/>
                <w:lang w:val="en-GB"/>
              </w:rPr>
            </w:pPr>
            <w:r w:rsidRPr="00CF4C4E">
              <w:rPr>
                <w:b/>
                <w:bCs/>
                <w:sz w:val="20"/>
                <w:szCs w:val="20"/>
                <w:lang w:val="en-GB"/>
              </w:rPr>
              <w:t>Source of financing</w:t>
            </w:r>
          </w:p>
        </w:tc>
        <w:tc>
          <w:tcPr>
            <w:tcW w:w="409" w:type="pct"/>
            <w:vMerge w:val="restart"/>
            <w:tcBorders>
              <w:top w:val="double" w:sz="4" w:space="0" w:color="auto"/>
            </w:tcBorders>
            <w:shd w:val="clear" w:color="auto" w:fill="E5DFEC" w:themeFill="accent4" w:themeFillTint="33"/>
          </w:tcPr>
          <w:p w:rsidR="006E272C" w:rsidRPr="00CF4C4E" w:rsidRDefault="006E272C" w:rsidP="00CF4C4E">
            <w:pPr>
              <w:jc w:val="center"/>
              <w:rPr>
                <w:b/>
                <w:sz w:val="20"/>
                <w:szCs w:val="20"/>
                <w:lang w:val="en-GB"/>
              </w:rPr>
            </w:pPr>
            <w:r w:rsidRPr="00CF4C4E">
              <w:rPr>
                <w:b/>
                <w:bCs/>
                <w:sz w:val="20"/>
                <w:szCs w:val="20"/>
                <w:lang w:val="en-GB"/>
              </w:rPr>
              <w:t>Link to programme budget</w:t>
            </w:r>
          </w:p>
          <w:p w:rsidR="006E272C" w:rsidRPr="00CF4C4E" w:rsidRDefault="006E272C" w:rsidP="00CF4C4E">
            <w:pPr>
              <w:jc w:val="center"/>
              <w:rPr>
                <w:b/>
                <w:sz w:val="20"/>
                <w:szCs w:val="20"/>
                <w:lang w:val="en-GB"/>
              </w:rPr>
            </w:pPr>
          </w:p>
        </w:tc>
        <w:tc>
          <w:tcPr>
            <w:tcW w:w="1937" w:type="pct"/>
            <w:gridSpan w:val="3"/>
            <w:tcBorders>
              <w:top w:val="double" w:sz="4" w:space="0" w:color="auto"/>
            </w:tcBorders>
            <w:shd w:val="clear" w:color="auto" w:fill="E5DFEC" w:themeFill="accent4" w:themeFillTint="33"/>
          </w:tcPr>
          <w:p w:rsidR="006E272C" w:rsidRPr="00CF4C4E" w:rsidRDefault="006E272C" w:rsidP="00CF4C4E">
            <w:pPr>
              <w:jc w:val="center"/>
              <w:rPr>
                <w:b/>
                <w:sz w:val="20"/>
                <w:szCs w:val="20"/>
                <w:lang w:val="en-GB"/>
              </w:rPr>
            </w:pPr>
            <w:r w:rsidRPr="00CF4C4E">
              <w:rPr>
                <w:b/>
                <w:bCs/>
                <w:sz w:val="20"/>
                <w:szCs w:val="20"/>
                <w:lang w:val="en-GB"/>
              </w:rPr>
              <w:t>Total assessed financial resources by source in RSD 000</w:t>
            </w:r>
          </w:p>
        </w:tc>
      </w:tr>
      <w:tr w:rsidR="001B4CBD" w:rsidRPr="00CF4C4E" w:rsidTr="001B4CBD">
        <w:trPr>
          <w:trHeight w:val="386"/>
        </w:trPr>
        <w:tc>
          <w:tcPr>
            <w:tcW w:w="847" w:type="pct"/>
            <w:vMerge/>
            <w:tcBorders>
              <w:left w:val="double" w:sz="4" w:space="0" w:color="auto"/>
            </w:tcBorders>
            <w:shd w:val="clear" w:color="auto" w:fill="E5DFEC" w:themeFill="accent4" w:themeFillTint="33"/>
          </w:tcPr>
          <w:p w:rsidR="001B4CBD" w:rsidRPr="00CF4C4E" w:rsidRDefault="001B4CBD" w:rsidP="00CF4C4E">
            <w:pPr>
              <w:rPr>
                <w:b/>
                <w:sz w:val="20"/>
                <w:szCs w:val="20"/>
                <w:lang w:val="en-GB"/>
              </w:rPr>
            </w:pPr>
          </w:p>
        </w:tc>
        <w:tc>
          <w:tcPr>
            <w:tcW w:w="404" w:type="pct"/>
            <w:vMerge/>
            <w:shd w:val="clear" w:color="auto" w:fill="E5DFEC" w:themeFill="accent4" w:themeFillTint="33"/>
          </w:tcPr>
          <w:p w:rsidR="001B4CBD" w:rsidRPr="00CF4C4E" w:rsidRDefault="001B4CBD" w:rsidP="00CF4C4E">
            <w:pPr>
              <w:rPr>
                <w:b/>
                <w:sz w:val="20"/>
                <w:szCs w:val="20"/>
                <w:lang w:val="en-GB"/>
              </w:rPr>
            </w:pPr>
          </w:p>
        </w:tc>
        <w:tc>
          <w:tcPr>
            <w:tcW w:w="438" w:type="pct"/>
            <w:vMerge/>
            <w:shd w:val="clear" w:color="auto" w:fill="E5DFEC" w:themeFill="accent4" w:themeFillTint="33"/>
          </w:tcPr>
          <w:p w:rsidR="001B4CBD" w:rsidRPr="00CF4C4E" w:rsidRDefault="001B4CBD" w:rsidP="00CF4C4E">
            <w:pPr>
              <w:rPr>
                <w:b/>
                <w:sz w:val="20"/>
                <w:szCs w:val="20"/>
                <w:lang w:val="en-GB"/>
              </w:rPr>
            </w:pPr>
          </w:p>
        </w:tc>
        <w:tc>
          <w:tcPr>
            <w:tcW w:w="410" w:type="pct"/>
            <w:vMerge/>
            <w:shd w:val="clear" w:color="auto" w:fill="E5DFEC" w:themeFill="accent4" w:themeFillTint="33"/>
          </w:tcPr>
          <w:p w:rsidR="001B4CBD" w:rsidRPr="00CF4C4E" w:rsidRDefault="001B4CBD" w:rsidP="00CF4C4E">
            <w:pPr>
              <w:rPr>
                <w:b/>
                <w:sz w:val="20"/>
                <w:szCs w:val="20"/>
                <w:lang w:val="en-GB"/>
              </w:rPr>
            </w:pPr>
          </w:p>
        </w:tc>
        <w:tc>
          <w:tcPr>
            <w:tcW w:w="555" w:type="pct"/>
            <w:vMerge/>
            <w:shd w:val="clear" w:color="auto" w:fill="E5DFEC" w:themeFill="accent4" w:themeFillTint="33"/>
          </w:tcPr>
          <w:p w:rsidR="001B4CBD" w:rsidRPr="00CF4C4E" w:rsidRDefault="001B4CBD" w:rsidP="00CF4C4E">
            <w:pPr>
              <w:rPr>
                <w:b/>
                <w:sz w:val="20"/>
                <w:szCs w:val="20"/>
                <w:lang w:val="en-GB"/>
              </w:rPr>
            </w:pPr>
          </w:p>
        </w:tc>
        <w:tc>
          <w:tcPr>
            <w:tcW w:w="409" w:type="pct"/>
            <w:vMerge/>
            <w:shd w:val="clear" w:color="auto" w:fill="E5DFEC" w:themeFill="accent4" w:themeFillTint="33"/>
          </w:tcPr>
          <w:p w:rsidR="001B4CBD" w:rsidRPr="00CF4C4E" w:rsidRDefault="001B4CBD" w:rsidP="00CF4C4E">
            <w:pPr>
              <w:rPr>
                <w:b/>
                <w:sz w:val="20"/>
                <w:szCs w:val="20"/>
                <w:lang w:val="en-GB"/>
              </w:rPr>
            </w:pPr>
          </w:p>
        </w:tc>
        <w:tc>
          <w:tcPr>
            <w:tcW w:w="690" w:type="pct"/>
            <w:shd w:val="clear" w:color="auto" w:fill="E5DFEC" w:themeFill="accent4" w:themeFillTint="33"/>
          </w:tcPr>
          <w:p w:rsidR="001B4CBD" w:rsidRPr="00CF4C4E" w:rsidRDefault="001B4CBD" w:rsidP="00CF4C4E">
            <w:pPr>
              <w:jc w:val="center"/>
              <w:rPr>
                <w:b/>
                <w:sz w:val="20"/>
                <w:szCs w:val="20"/>
                <w:lang w:val="en-GB"/>
              </w:rPr>
            </w:pPr>
            <w:r w:rsidRPr="00CF4C4E">
              <w:rPr>
                <w:b/>
                <w:bCs/>
                <w:sz w:val="20"/>
                <w:szCs w:val="20"/>
                <w:lang w:val="en-GB"/>
              </w:rPr>
              <w:t>2020</w:t>
            </w:r>
          </w:p>
        </w:tc>
        <w:tc>
          <w:tcPr>
            <w:tcW w:w="538" w:type="pct"/>
            <w:shd w:val="clear" w:color="auto" w:fill="E5DFEC" w:themeFill="accent4" w:themeFillTint="33"/>
          </w:tcPr>
          <w:p w:rsidR="001B4CBD" w:rsidRPr="00CF4C4E" w:rsidRDefault="001B4CBD" w:rsidP="00CF4C4E">
            <w:pPr>
              <w:jc w:val="center"/>
              <w:rPr>
                <w:b/>
                <w:sz w:val="20"/>
                <w:szCs w:val="20"/>
                <w:lang w:val="en-GB"/>
              </w:rPr>
            </w:pPr>
            <w:r w:rsidRPr="00CF4C4E">
              <w:rPr>
                <w:b/>
                <w:bCs/>
                <w:sz w:val="20"/>
                <w:szCs w:val="20"/>
                <w:lang w:val="en-GB"/>
              </w:rPr>
              <w:t>2021</w:t>
            </w:r>
          </w:p>
        </w:tc>
        <w:tc>
          <w:tcPr>
            <w:tcW w:w="709" w:type="pct"/>
            <w:shd w:val="clear" w:color="auto" w:fill="E5DFEC" w:themeFill="accent4" w:themeFillTint="33"/>
          </w:tcPr>
          <w:p w:rsidR="001B4CBD" w:rsidRPr="00CF4C4E" w:rsidRDefault="001B4CBD" w:rsidP="00CF4C4E">
            <w:pPr>
              <w:jc w:val="center"/>
              <w:rPr>
                <w:b/>
                <w:sz w:val="20"/>
                <w:szCs w:val="20"/>
                <w:lang w:val="en-GB"/>
              </w:rPr>
            </w:pPr>
            <w:r w:rsidRPr="00CF4C4E">
              <w:rPr>
                <w:b/>
                <w:bCs/>
                <w:sz w:val="20"/>
                <w:szCs w:val="20"/>
                <w:lang w:val="en-GB"/>
              </w:rPr>
              <w:t>2022</w:t>
            </w:r>
          </w:p>
          <w:p w:rsidR="001B4CBD" w:rsidRPr="00CF4C4E" w:rsidRDefault="001B4CBD" w:rsidP="00CF4C4E">
            <w:pPr>
              <w:rPr>
                <w:b/>
                <w:sz w:val="20"/>
                <w:szCs w:val="20"/>
                <w:lang w:val="en-GB"/>
              </w:rPr>
            </w:pPr>
          </w:p>
        </w:tc>
      </w:tr>
      <w:tr w:rsidR="009A6D0D" w:rsidRPr="00CF4C4E" w:rsidTr="00CF4C4E">
        <w:trPr>
          <w:trHeight w:val="2172"/>
        </w:trPr>
        <w:tc>
          <w:tcPr>
            <w:tcW w:w="847" w:type="pct"/>
            <w:tcBorders>
              <w:left w:val="double" w:sz="4" w:space="0" w:color="auto"/>
            </w:tcBorders>
            <w:shd w:val="clear" w:color="auto" w:fill="auto"/>
          </w:tcPr>
          <w:p w:rsidR="009A6D0D" w:rsidRPr="00CF4C4E" w:rsidRDefault="009A6D0D" w:rsidP="00CF4C4E">
            <w:pPr>
              <w:contextualSpacing/>
              <w:rPr>
                <w:sz w:val="20"/>
                <w:szCs w:val="20"/>
                <w:lang w:val="en-GB"/>
              </w:rPr>
            </w:pPr>
            <w:r w:rsidRPr="00CF4C4E">
              <w:rPr>
                <w:sz w:val="20"/>
                <w:szCs w:val="20"/>
                <w:lang w:val="en-GB"/>
              </w:rPr>
              <w:t xml:space="preserve">4.4.1 Conduct an analysis of compliance of and consistency between the Law on Freezing of Assets with the Aim of Preventing Terrorism and Proliferation of WMD and Law on International Restrictive Measures  </w:t>
            </w:r>
          </w:p>
        </w:tc>
        <w:tc>
          <w:tcPr>
            <w:tcW w:w="404" w:type="pct"/>
            <w:shd w:val="clear" w:color="auto" w:fill="auto"/>
          </w:tcPr>
          <w:p w:rsidR="009A6D0D" w:rsidRPr="00CF4C4E" w:rsidRDefault="009A6D0D" w:rsidP="00CF4C4E">
            <w:pPr>
              <w:rPr>
                <w:sz w:val="20"/>
                <w:szCs w:val="20"/>
                <w:lang w:val="en-GB"/>
              </w:rPr>
            </w:pPr>
            <w:r w:rsidRPr="00CF4C4E">
              <w:rPr>
                <w:sz w:val="20"/>
                <w:szCs w:val="20"/>
                <w:lang w:val="en-GB"/>
              </w:rPr>
              <w:t>AML/CFT CB</w:t>
            </w:r>
          </w:p>
        </w:tc>
        <w:tc>
          <w:tcPr>
            <w:tcW w:w="438" w:type="pct"/>
            <w:shd w:val="clear" w:color="auto" w:fill="auto"/>
          </w:tcPr>
          <w:p w:rsidR="009A6D0D" w:rsidRPr="00CF4C4E" w:rsidRDefault="009A6D0D" w:rsidP="00CF4C4E">
            <w:pPr>
              <w:rPr>
                <w:sz w:val="20"/>
                <w:szCs w:val="20"/>
                <w:lang w:val="en-GB"/>
              </w:rPr>
            </w:pPr>
            <w:r w:rsidRPr="00CF4C4E">
              <w:rPr>
                <w:sz w:val="20"/>
                <w:szCs w:val="20"/>
                <w:lang w:val="en-GB"/>
              </w:rPr>
              <w:t>MoJ,</w:t>
            </w:r>
          </w:p>
          <w:p w:rsidR="009A6D0D" w:rsidRPr="00CF4C4E" w:rsidRDefault="009A6D0D" w:rsidP="00CF4C4E">
            <w:pPr>
              <w:rPr>
                <w:sz w:val="20"/>
                <w:szCs w:val="20"/>
                <w:lang w:val="en-GB"/>
              </w:rPr>
            </w:pPr>
            <w:r w:rsidRPr="00CF4C4E">
              <w:rPr>
                <w:sz w:val="20"/>
                <w:szCs w:val="20"/>
                <w:lang w:val="en-GB"/>
              </w:rPr>
              <w:t xml:space="preserve">MFA, APML </w:t>
            </w:r>
          </w:p>
        </w:tc>
        <w:tc>
          <w:tcPr>
            <w:tcW w:w="410" w:type="pct"/>
            <w:shd w:val="clear" w:color="auto" w:fill="auto"/>
          </w:tcPr>
          <w:p w:rsidR="009A6D0D" w:rsidRPr="00CF4C4E" w:rsidRDefault="009A6D0D" w:rsidP="00CF4C4E">
            <w:pPr>
              <w:rPr>
                <w:sz w:val="20"/>
                <w:szCs w:val="20"/>
                <w:lang w:val="en-GB"/>
              </w:rPr>
            </w:pPr>
            <w:r w:rsidRPr="00CF4C4E">
              <w:rPr>
                <w:sz w:val="20"/>
                <w:szCs w:val="20"/>
                <w:lang w:val="en-GB"/>
              </w:rPr>
              <w:t>IV quarter of 2020</w:t>
            </w:r>
          </w:p>
        </w:tc>
        <w:tc>
          <w:tcPr>
            <w:tcW w:w="555" w:type="pct"/>
            <w:shd w:val="clear" w:color="auto" w:fill="auto"/>
          </w:tcPr>
          <w:p w:rsidR="009A6D0D" w:rsidRPr="00CF4C4E" w:rsidRDefault="009A6D0D" w:rsidP="00CF4C4E">
            <w:pPr>
              <w:rPr>
                <w:color w:val="auto"/>
                <w:sz w:val="20"/>
                <w:szCs w:val="20"/>
                <w:lang w:val="en-GB"/>
              </w:rPr>
            </w:pPr>
            <w:r w:rsidRPr="00CF4C4E">
              <w:rPr>
                <w:sz w:val="20"/>
                <w:szCs w:val="20"/>
                <w:lang w:val="en-GB"/>
              </w:rPr>
              <w:t>Financed as part of regular activities of staff</w:t>
            </w:r>
          </w:p>
          <w:p w:rsidR="009A6D0D" w:rsidRPr="00CF4C4E" w:rsidRDefault="009A6D0D" w:rsidP="00CF4C4E">
            <w:pPr>
              <w:rPr>
                <w:color w:val="auto"/>
                <w:sz w:val="20"/>
                <w:szCs w:val="20"/>
                <w:lang w:val="en-GB"/>
              </w:rPr>
            </w:pPr>
          </w:p>
          <w:p w:rsidR="009A6D0D" w:rsidRPr="00CF4C4E" w:rsidRDefault="009A6D0D" w:rsidP="00CF4C4E">
            <w:pPr>
              <w:pStyle w:val="basic-paragraph"/>
              <w:spacing w:before="0" w:beforeAutospacing="0" w:after="0" w:afterAutospacing="0"/>
              <w:rPr>
                <w:sz w:val="20"/>
                <w:szCs w:val="20"/>
                <w:lang w:val="en-GB"/>
              </w:rPr>
            </w:pPr>
            <w:r w:rsidRPr="00CF4C4E">
              <w:rPr>
                <w:sz w:val="20"/>
                <w:szCs w:val="20"/>
                <w:lang w:val="en-GB"/>
              </w:rPr>
              <w:t>Domestic and international donor funds</w:t>
            </w:r>
          </w:p>
        </w:tc>
        <w:tc>
          <w:tcPr>
            <w:tcW w:w="409" w:type="pct"/>
            <w:shd w:val="clear" w:color="auto" w:fill="auto"/>
          </w:tcPr>
          <w:p w:rsidR="009A6D0D" w:rsidRPr="00CF4C4E" w:rsidRDefault="009A6D0D" w:rsidP="00CF4C4E">
            <w:pPr>
              <w:rPr>
                <w:sz w:val="20"/>
                <w:szCs w:val="20"/>
                <w:lang w:val="en-GB"/>
              </w:rPr>
            </w:pPr>
          </w:p>
        </w:tc>
        <w:tc>
          <w:tcPr>
            <w:tcW w:w="690" w:type="pct"/>
            <w:shd w:val="clear" w:color="auto" w:fill="auto"/>
          </w:tcPr>
          <w:p w:rsidR="009A6D0D" w:rsidRPr="00CF4C4E" w:rsidRDefault="009A6D0D" w:rsidP="00CF4C4E">
            <w:pPr>
              <w:rPr>
                <w:sz w:val="20"/>
                <w:szCs w:val="20"/>
                <w:lang w:val="en-GB"/>
              </w:rPr>
            </w:pPr>
          </w:p>
        </w:tc>
        <w:tc>
          <w:tcPr>
            <w:tcW w:w="538" w:type="pct"/>
            <w:shd w:val="clear" w:color="auto" w:fill="auto"/>
          </w:tcPr>
          <w:p w:rsidR="009A6D0D" w:rsidRPr="00CF4C4E" w:rsidRDefault="009A6D0D" w:rsidP="00CF4C4E">
            <w:pPr>
              <w:rPr>
                <w:sz w:val="20"/>
                <w:szCs w:val="20"/>
                <w:lang w:val="en-GB"/>
              </w:rPr>
            </w:pPr>
          </w:p>
        </w:tc>
        <w:tc>
          <w:tcPr>
            <w:tcW w:w="709" w:type="pct"/>
            <w:shd w:val="clear" w:color="auto" w:fill="auto"/>
          </w:tcPr>
          <w:p w:rsidR="009A6D0D" w:rsidRPr="00CF4C4E" w:rsidRDefault="009A6D0D" w:rsidP="00CF4C4E">
            <w:pPr>
              <w:rPr>
                <w:sz w:val="20"/>
                <w:szCs w:val="20"/>
                <w:lang w:val="en-GB"/>
              </w:rPr>
            </w:pPr>
          </w:p>
        </w:tc>
      </w:tr>
      <w:tr w:rsidR="009A6D0D" w:rsidRPr="00CF4C4E" w:rsidTr="001B4CBD">
        <w:trPr>
          <w:trHeight w:val="140"/>
        </w:trPr>
        <w:tc>
          <w:tcPr>
            <w:tcW w:w="847" w:type="pct"/>
            <w:tcBorders>
              <w:left w:val="double" w:sz="4" w:space="0" w:color="auto"/>
            </w:tcBorders>
            <w:shd w:val="clear" w:color="auto" w:fill="auto"/>
          </w:tcPr>
          <w:p w:rsidR="009A6D0D" w:rsidRPr="00CF4C4E" w:rsidRDefault="009A6D0D" w:rsidP="00CF4C4E">
            <w:pPr>
              <w:rPr>
                <w:color w:val="auto"/>
                <w:sz w:val="20"/>
                <w:szCs w:val="20"/>
                <w:lang w:val="en-GB"/>
              </w:rPr>
            </w:pPr>
            <w:r w:rsidRPr="00CF4C4E">
              <w:rPr>
                <w:color w:val="auto"/>
                <w:sz w:val="20"/>
                <w:szCs w:val="20"/>
                <w:lang w:val="en-GB"/>
              </w:rPr>
              <w:t>4.4.2 Adjust the legislation, as required, to the outcomes of the analysis under 4.4.1;</w:t>
            </w:r>
          </w:p>
        </w:tc>
        <w:tc>
          <w:tcPr>
            <w:tcW w:w="404" w:type="pct"/>
            <w:shd w:val="clear" w:color="auto" w:fill="auto"/>
          </w:tcPr>
          <w:p w:rsidR="009A6D0D" w:rsidRPr="00CF4C4E" w:rsidRDefault="009E1129" w:rsidP="00CF4C4E">
            <w:pPr>
              <w:rPr>
                <w:color w:val="auto"/>
                <w:sz w:val="20"/>
                <w:szCs w:val="20"/>
                <w:lang w:val="en-GB"/>
              </w:rPr>
            </w:pPr>
            <w:r w:rsidRPr="00CF4C4E">
              <w:rPr>
                <w:color w:val="auto"/>
                <w:sz w:val="20"/>
                <w:szCs w:val="20"/>
                <w:lang w:val="en-GB"/>
              </w:rPr>
              <w:t>GoS</w:t>
            </w:r>
          </w:p>
        </w:tc>
        <w:tc>
          <w:tcPr>
            <w:tcW w:w="438" w:type="pct"/>
            <w:shd w:val="clear" w:color="auto" w:fill="auto"/>
          </w:tcPr>
          <w:p w:rsidR="009A6D0D" w:rsidRPr="00CF4C4E" w:rsidRDefault="009A6D0D" w:rsidP="00CF4C4E">
            <w:pPr>
              <w:rPr>
                <w:color w:val="auto"/>
                <w:sz w:val="20"/>
                <w:szCs w:val="20"/>
                <w:lang w:val="en-GB"/>
              </w:rPr>
            </w:pPr>
            <w:r w:rsidRPr="00CF4C4E">
              <w:rPr>
                <w:color w:val="auto"/>
                <w:sz w:val="20"/>
                <w:szCs w:val="20"/>
                <w:lang w:val="en-GB"/>
              </w:rPr>
              <w:t>AML/CFT CB</w:t>
            </w:r>
          </w:p>
        </w:tc>
        <w:tc>
          <w:tcPr>
            <w:tcW w:w="410" w:type="pct"/>
            <w:shd w:val="clear" w:color="auto" w:fill="auto"/>
          </w:tcPr>
          <w:p w:rsidR="009A6D0D" w:rsidRPr="00CF4C4E" w:rsidRDefault="009A6D0D" w:rsidP="00CF4C4E">
            <w:pPr>
              <w:rPr>
                <w:color w:val="auto"/>
                <w:sz w:val="20"/>
                <w:szCs w:val="20"/>
                <w:lang w:val="en-GB"/>
              </w:rPr>
            </w:pPr>
            <w:r w:rsidRPr="00CF4C4E">
              <w:rPr>
                <w:color w:val="auto"/>
                <w:sz w:val="20"/>
                <w:szCs w:val="20"/>
                <w:lang w:val="en-GB"/>
              </w:rPr>
              <w:t>IV quarter of 2021</w:t>
            </w:r>
          </w:p>
        </w:tc>
        <w:tc>
          <w:tcPr>
            <w:tcW w:w="555" w:type="pct"/>
            <w:shd w:val="clear" w:color="auto" w:fill="auto"/>
          </w:tcPr>
          <w:p w:rsidR="009A6D0D" w:rsidRPr="00CF4C4E" w:rsidRDefault="009A6D0D" w:rsidP="00CF4C4E">
            <w:pPr>
              <w:rPr>
                <w:color w:val="auto"/>
                <w:sz w:val="20"/>
                <w:szCs w:val="20"/>
                <w:lang w:val="en-GB"/>
              </w:rPr>
            </w:pPr>
            <w:r w:rsidRPr="00CF4C4E">
              <w:rPr>
                <w:color w:val="auto"/>
                <w:sz w:val="20"/>
                <w:szCs w:val="20"/>
                <w:lang w:val="en-GB"/>
              </w:rPr>
              <w:t>Financed as part of regular activities of staff</w:t>
            </w:r>
          </w:p>
          <w:p w:rsidR="009A6D0D" w:rsidRPr="00CF4C4E" w:rsidRDefault="009A6D0D" w:rsidP="00CF4C4E">
            <w:pPr>
              <w:rPr>
                <w:color w:val="auto"/>
                <w:sz w:val="20"/>
                <w:szCs w:val="20"/>
                <w:lang w:val="en-GB"/>
              </w:rPr>
            </w:pPr>
          </w:p>
          <w:p w:rsidR="009A6D0D" w:rsidRPr="00CF4C4E" w:rsidRDefault="009A6D0D" w:rsidP="00CF4C4E">
            <w:pPr>
              <w:pStyle w:val="basic-paragraph"/>
              <w:spacing w:before="0" w:beforeAutospacing="0" w:after="0" w:afterAutospacing="0"/>
              <w:rPr>
                <w:sz w:val="20"/>
                <w:szCs w:val="20"/>
                <w:lang w:val="en-GB"/>
              </w:rPr>
            </w:pPr>
            <w:r w:rsidRPr="00CF4C4E">
              <w:rPr>
                <w:sz w:val="20"/>
                <w:szCs w:val="20"/>
                <w:lang w:val="en-GB"/>
              </w:rPr>
              <w:t>Domestic and international donor funds</w:t>
            </w:r>
          </w:p>
        </w:tc>
        <w:tc>
          <w:tcPr>
            <w:tcW w:w="409" w:type="pct"/>
            <w:shd w:val="clear" w:color="auto" w:fill="auto"/>
          </w:tcPr>
          <w:p w:rsidR="009A6D0D" w:rsidRPr="00CF4C4E" w:rsidRDefault="009A6D0D" w:rsidP="00CF4C4E">
            <w:pPr>
              <w:rPr>
                <w:color w:val="auto"/>
                <w:sz w:val="20"/>
                <w:szCs w:val="20"/>
                <w:lang w:val="en-GB"/>
              </w:rPr>
            </w:pPr>
          </w:p>
        </w:tc>
        <w:tc>
          <w:tcPr>
            <w:tcW w:w="690" w:type="pct"/>
            <w:shd w:val="clear" w:color="auto" w:fill="auto"/>
          </w:tcPr>
          <w:p w:rsidR="009A6D0D" w:rsidRPr="00CF4C4E" w:rsidRDefault="009A6D0D" w:rsidP="00CF4C4E">
            <w:pPr>
              <w:rPr>
                <w:color w:val="auto"/>
                <w:sz w:val="20"/>
                <w:szCs w:val="20"/>
                <w:lang w:val="en-GB"/>
              </w:rPr>
            </w:pPr>
          </w:p>
        </w:tc>
        <w:tc>
          <w:tcPr>
            <w:tcW w:w="538" w:type="pct"/>
            <w:shd w:val="clear" w:color="auto" w:fill="auto"/>
          </w:tcPr>
          <w:p w:rsidR="009A6D0D" w:rsidRPr="00CF4C4E" w:rsidRDefault="009A6D0D" w:rsidP="00CF4C4E">
            <w:pPr>
              <w:rPr>
                <w:color w:val="auto"/>
                <w:sz w:val="20"/>
                <w:szCs w:val="20"/>
                <w:lang w:val="en-GB"/>
              </w:rPr>
            </w:pPr>
          </w:p>
        </w:tc>
        <w:tc>
          <w:tcPr>
            <w:tcW w:w="709" w:type="pct"/>
            <w:shd w:val="clear" w:color="auto" w:fill="auto"/>
          </w:tcPr>
          <w:p w:rsidR="009A6D0D" w:rsidRPr="00CF4C4E" w:rsidRDefault="009A6D0D" w:rsidP="00CF4C4E">
            <w:pPr>
              <w:rPr>
                <w:color w:val="auto"/>
                <w:sz w:val="20"/>
                <w:szCs w:val="20"/>
                <w:lang w:val="en-GB"/>
              </w:rPr>
            </w:pPr>
          </w:p>
        </w:tc>
      </w:tr>
    </w:tbl>
    <w:p w:rsidR="00793779" w:rsidRDefault="00793779" w:rsidP="00CF4C4E">
      <w:pPr>
        <w:rPr>
          <w:sz w:val="20"/>
          <w:szCs w:val="20"/>
          <w:lang w:val="en-GB"/>
        </w:rPr>
      </w:pPr>
    </w:p>
    <w:p w:rsidR="00CF4C4E" w:rsidRDefault="00CF4C4E" w:rsidP="00CF4C4E">
      <w:pPr>
        <w:rPr>
          <w:sz w:val="20"/>
          <w:szCs w:val="20"/>
          <w:lang w:val="en-GB"/>
        </w:rPr>
        <w:sectPr w:rsidR="00CF4C4E" w:rsidSect="00CF4C4E">
          <w:headerReference w:type="default" r:id="rId9"/>
          <w:footerReference w:type="default" r:id="rId10"/>
          <w:pgSz w:w="16839" w:h="11907" w:code="9"/>
          <w:pgMar w:top="1440" w:right="1440" w:bottom="1440" w:left="1440" w:header="720" w:footer="720" w:gutter="0"/>
          <w:cols w:space="720"/>
          <w:docGrid w:linePitch="360"/>
        </w:sectPr>
      </w:pPr>
    </w:p>
    <w:p w:rsidR="00CF4C4E" w:rsidRDefault="00CF4C4E" w:rsidP="00CF4C4E">
      <w:pPr>
        <w:rPr>
          <w:sz w:val="20"/>
          <w:szCs w:val="20"/>
          <w:lang w:val="en-GB"/>
        </w:rPr>
      </w:pPr>
    </w:p>
    <w:tbl>
      <w:tblPr>
        <w:tblStyle w:val="TableGrid"/>
        <w:tblW w:w="0" w:type="auto"/>
        <w:tblLook w:val="04A0"/>
      </w:tblPr>
      <w:tblGrid>
        <w:gridCol w:w="2053"/>
        <w:gridCol w:w="7190"/>
      </w:tblGrid>
      <w:tr w:rsidR="005768D4" w:rsidRPr="00CF4C4E" w:rsidTr="00D93CED">
        <w:tc>
          <w:tcPr>
            <w:tcW w:w="9576" w:type="dxa"/>
            <w:gridSpan w:val="2"/>
          </w:tcPr>
          <w:p w:rsidR="005768D4" w:rsidRPr="00CF4C4E" w:rsidRDefault="00CF4C4E" w:rsidP="00CF4C4E">
            <w:pPr>
              <w:jc w:val="center"/>
              <w:rPr>
                <w:b/>
                <w:lang w:val="en-GB"/>
              </w:rPr>
            </w:pPr>
            <w:r w:rsidRPr="00CF4C4E">
              <w:rPr>
                <w:b/>
                <w:bCs/>
                <w:lang w:val="en-GB"/>
              </w:rPr>
              <w:t>L</w:t>
            </w:r>
            <w:r w:rsidR="005768D4" w:rsidRPr="00CF4C4E">
              <w:rPr>
                <w:b/>
                <w:bCs/>
                <w:lang w:val="en-GB"/>
              </w:rPr>
              <w:t>ist of abbreviations</w:t>
            </w:r>
          </w:p>
        </w:tc>
      </w:tr>
      <w:tr w:rsidR="0082149B" w:rsidRPr="00CF4C4E" w:rsidTr="00CB13E8">
        <w:tc>
          <w:tcPr>
            <w:tcW w:w="2093" w:type="dxa"/>
          </w:tcPr>
          <w:p w:rsidR="0082149B" w:rsidRPr="00CF4C4E" w:rsidRDefault="0082149B" w:rsidP="00CF4C4E">
            <w:pPr>
              <w:rPr>
                <w:lang w:val="en-GB"/>
              </w:rPr>
            </w:pPr>
            <w:r w:rsidRPr="00CF4C4E">
              <w:rPr>
                <w:lang w:val="en-GB"/>
              </w:rPr>
              <w:t>ACAS</w:t>
            </w:r>
          </w:p>
        </w:tc>
        <w:tc>
          <w:tcPr>
            <w:tcW w:w="7483" w:type="dxa"/>
          </w:tcPr>
          <w:p w:rsidR="0082149B" w:rsidRPr="00CF4C4E" w:rsidRDefault="0082149B" w:rsidP="00CF4C4E">
            <w:pPr>
              <w:rPr>
                <w:lang w:val="en-GB"/>
              </w:rPr>
            </w:pPr>
            <w:r w:rsidRPr="00CF4C4E">
              <w:rPr>
                <w:lang w:val="en-GB"/>
              </w:rPr>
              <w:t>Anti-Corruption Agency,</w:t>
            </w:r>
          </w:p>
        </w:tc>
      </w:tr>
      <w:tr w:rsidR="0082149B" w:rsidRPr="00CF4C4E" w:rsidTr="00CB13E8">
        <w:tc>
          <w:tcPr>
            <w:tcW w:w="2093" w:type="dxa"/>
          </w:tcPr>
          <w:p w:rsidR="0082149B" w:rsidRPr="00CF4C4E" w:rsidRDefault="0082149B" w:rsidP="00CF4C4E">
            <w:pPr>
              <w:rPr>
                <w:lang w:val="en-GB"/>
              </w:rPr>
            </w:pPr>
            <w:r w:rsidRPr="00CF4C4E">
              <w:rPr>
                <w:lang w:val="en-GB"/>
              </w:rPr>
              <w:t>SBA</w:t>
            </w:r>
          </w:p>
        </w:tc>
        <w:tc>
          <w:tcPr>
            <w:tcW w:w="7483" w:type="dxa"/>
          </w:tcPr>
          <w:p w:rsidR="0082149B" w:rsidRPr="00CF4C4E" w:rsidRDefault="0082149B" w:rsidP="00CF4C4E">
            <w:pPr>
              <w:rPr>
                <w:lang w:val="en-GB"/>
              </w:rPr>
            </w:pPr>
            <w:r w:rsidRPr="00CF4C4E">
              <w:rPr>
                <w:lang w:val="en-GB"/>
              </w:rPr>
              <w:t>Bar Association of Serbia</w:t>
            </w:r>
          </w:p>
        </w:tc>
      </w:tr>
      <w:tr w:rsidR="0082149B" w:rsidRPr="00CF4C4E" w:rsidTr="00CB13E8">
        <w:tc>
          <w:tcPr>
            <w:tcW w:w="2093" w:type="dxa"/>
          </w:tcPr>
          <w:p w:rsidR="0082149B" w:rsidRPr="00CF4C4E" w:rsidRDefault="0082149B" w:rsidP="00CF4C4E">
            <w:pPr>
              <w:rPr>
                <w:lang w:val="en-GB"/>
              </w:rPr>
            </w:pPr>
            <w:r w:rsidRPr="00CF4C4E">
              <w:rPr>
                <w:lang w:val="en-GB"/>
              </w:rPr>
              <w:t>SBRA</w:t>
            </w:r>
          </w:p>
        </w:tc>
        <w:tc>
          <w:tcPr>
            <w:tcW w:w="7483" w:type="dxa"/>
          </w:tcPr>
          <w:p w:rsidR="0082149B" w:rsidRPr="00CF4C4E" w:rsidRDefault="0082149B" w:rsidP="00CF4C4E">
            <w:pPr>
              <w:rPr>
                <w:lang w:val="en-GB"/>
              </w:rPr>
            </w:pPr>
            <w:r w:rsidRPr="00CF4C4E">
              <w:rPr>
                <w:lang w:val="en-GB"/>
              </w:rPr>
              <w:t>Business Registers Agency</w:t>
            </w:r>
          </w:p>
        </w:tc>
      </w:tr>
      <w:tr w:rsidR="0082149B" w:rsidRPr="00CF4C4E" w:rsidTr="00CB13E8">
        <w:tc>
          <w:tcPr>
            <w:tcW w:w="2093" w:type="dxa"/>
          </w:tcPr>
          <w:p w:rsidR="0082149B" w:rsidRPr="00CF4C4E" w:rsidRDefault="0082149B" w:rsidP="00CF4C4E">
            <w:pPr>
              <w:rPr>
                <w:lang w:val="en-GB"/>
              </w:rPr>
            </w:pPr>
            <w:r w:rsidRPr="00CF4C4E">
              <w:rPr>
                <w:lang w:val="en-GB"/>
              </w:rPr>
              <w:t>ACs</w:t>
            </w:r>
          </w:p>
        </w:tc>
        <w:tc>
          <w:tcPr>
            <w:tcW w:w="7483" w:type="dxa"/>
          </w:tcPr>
          <w:p w:rsidR="0082149B" w:rsidRPr="00CF4C4E" w:rsidRDefault="0082149B" w:rsidP="00CF4C4E">
            <w:pPr>
              <w:rPr>
                <w:lang w:val="en-GB"/>
              </w:rPr>
            </w:pPr>
            <w:r w:rsidRPr="00CF4C4E">
              <w:rPr>
                <w:lang w:val="en-GB"/>
              </w:rPr>
              <w:t>Appellate courts</w:t>
            </w:r>
          </w:p>
        </w:tc>
      </w:tr>
      <w:tr w:rsidR="0082149B" w:rsidRPr="00CF4C4E" w:rsidTr="00CB13E8">
        <w:tc>
          <w:tcPr>
            <w:tcW w:w="2093" w:type="dxa"/>
          </w:tcPr>
          <w:p w:rsidR="0082149B" w:rsidRPr="00CF4C4E" w:rsidRDefault="0082149B" w:rsidP="00CF4C4E">
            <w:pPr>
              <w:rPr>
                <w:lang w:val="en-GB"/>
              </w:rPr>
            </w:pPr>
            <w:r w:rsidRPr="00CF4C4E">
              <w:rPr>
                <w:lang w:val="en-GB"/>
              </w:rPr>
              <w:t>SIA</w:t>
            </w:r>
          </w:p>
        </w:tc>
        <w:tc>
          <w:tcPr>
            <w:tcW w:w="7483" w:type="dxa"/>
          </w:tcPr>
          <w:p w:rsidR="0082149B" w:rsidRPr="00CF4C4E" w:rsidRDefault="0082149B" w:rsidP="00CF4C4E">
            <w:pPr>
              <w:rPr>
                <w:lang w:val="en-GB"/>
              </w:rPr>
            </w:pPr>
            <w:r w:rsidRPr="00CF4C4E">
              <w:rPr>
                <w:lang w:val="en-GB"/>
              </w:rPr>
              <w:t>Security Information Agency</w:t>
            </w:r>
          </w:p>
        </w:tc>
      </w:tr>
      <w:tr w:rsidR="0082149B" w:rsidRPr="00CF4C4E" w:rsidTr="00CB13E8">
        <w:tc>
          <w:tcPr>
            <w:tcW w:w="2093" w:type="dxa"/>
          </w:tcPr>
          <w:p w:rsidR="0082149B" w:rsidRPr="00CF4C4E" w:rsidRDefault="0082149B" w:rsidP="00CF4C4E">
            <w:pPr>
              <w:rPr>
                <w:lang w:val="en-GB"/>
              </w:rPr>
            </w:pPr>
            <w:r w:rsidRPr="00CF4C4E">
              <w:rPr>
                <w:lang w:val="en-GB"/>
              </w:rPr>
              <w:t>MSA</w:t>
            </w:r>
          </w:p>
        </w:tc>
        <w:tc>
          <w:tcPr>
            <w:tcW w:w="7483" w:type="dxa"/>
          </w:tcPr>
          <w:p w:rsidR="0082149B" w:rsidRPr="00CF4C4E" w:rsidRDefault="0082149B" w:rsidP="00CF4C4E">
            <w:pPr>
              <w:rPr>
                <w:lang w:val="en-GB"/>
              </w:rPr>
            </w:pPr>
            <w:r w:rsidRPr="00CF4C4E">
              <w:rPr>
                <w:lang w:val="en-GB"/>
              </w:rPr>
              <w:t>Military Security Agency</w:t>
            </w:r>
          </w:p>
        </w:tc>
      </w:tr>
      <w:tr w:rsidR="0082149B" w:rsidRPr="00CF4C4E" w:rsidTr="00CB13E8">
        <w:tc>
          <w:tcPr>
            <w:tcW w:w="2093" w:type="dxa"/>
          </w:tcPr>
          <w:p w:rsidR="0082149B" w:rsidRPr="00CF4C4E" w:rsidRDefault="0082149B" w:rsidP="00CF4C4E">
            <w:pPr>
              <w:rPr>
                <w:lang w:val="en-GB"/>
              </w:rPr>
            </w:pPr>
            <w:r w:rsidRPr="00CF4C4E">
              <w:rPr>
                <w:lang w:val="en-GB"/>
              </w:rPr>
              <w:t>HPPO</w:t>
            </w:r>
          </w:p>
        </w:tc>
        <w:tc>
          <w:tcPr>
            <w:tcW w:w="7483" w:type="dxa"/>
          </w:tcPr>
          <w:p w:rsidR="0082149B" w:rsidRPr="00CF4C4E" w:rsidRDefault="0082149B" w:rsidP="00CF4C4E">
            <w:pPr>
              <w:rPr>
                <w:lang w:val="en-GB"/>
              </w:rPr>
            </w:pPr>
            <w:r w:rsidRPr="00CF4C4E">
              <w:rPr>
                <w:lang w:val="en-GB"/>
              </w:rPr>
              <w:t>Higher Public Prosecutor’s Office</w:t>
            </w:r>
          </w:p>
        </w:tc>
      </w:tr>
      <w:tr w:rsidR="0082149B" w:rsidRPr="00CF4C4E" w:rsidTr="00CB13E8">
        <w:tc>
          <w:tcPr>
            <w:tcW w:w="2093" w:type="dxa"/>
          </w:tcPr>
          <w:p w:rsidR="0082149B" w:rsidRPr="00CF4C4E" w:rsidRDefault="0082149B" w:rsidP="00CF4C4E">
            <w:pPr>
              <w:rPr>
                <w:lang w:val="en-GB"/>
              </w:rPr>
            </w:pPr>
            <w:r w:rsidRPr="00CF4C4E">
              <w:rPr>
                <w:lang w:val="en-GB"/>
              </w:rPr>
              <w:t>SCC</w:t>
            </w:r>
          </w:p>
        </w:tc>
        <w:tc>
          <w:tcPr>
            <w:tcW w:w="7483" w:type="dxa"/>
          </w:tcPr>
          <w:p w:rsidR="0082149B" w:rsidRPr="00CF4C4E" w:rsidRDefault="0082149B" w:rsidP="00CF4C4E">
            <w:pPr>
              <w:rPr>
                <w:lang w:val="en-GB"/>
              </w:rPr>
            </w:pPr>
            <w:r w:rsidRPr="00CF4C4E">
              <w:rPr>
                <w:lang w:val="en-GB"/>
              </w:rPr>
              <w:t>Supreme Court of Cassation</w:t>
            </w:r>
          </w:p>
        </w:tc>
      </w:tr>
      <w:tr w:rsidR="0082149B" w:rsidRPr="00CF4C4E" w:rsidTr="00CB13E8">
        <w:tc>
          <w:tcPr>
            <w:tcW w:w="2093" w:type="dxa"/>
          </w:tcPr>
          <w:p w:rsidR="0082149B" w:rsidRPr="00CF4C4E" w:rsidRDefault="0082149B" w:rsidP="00CF4C4E">
            <w:pPr>
              <w:rPr>
                <w:lang w:val="en-GB"/>
              </w:rPr>
            </w:pPr>
            <w:r w:rsidRPr="00CF4C4E">
              <w:rPr>
                <w:lang w:val="en-GB"/>
              </w:rPr>
              <w:t>MIA</w:t>
            </w:r>
          </w:p>
        </w:tc>
        <w:tc>
          <w:tcPr>
            <w:tcW w:w="7483" w:type="dxa"/>
          </w:tcPr>
          <w:p w:rsidR="0082149B" w:rsidRPr="00CF4C4E" w:rsidRDefault="0082149B" w:rsidP="00CF4C4E">
            <w:pPr>
              <w:rPr>
                <w:lang w:val="en-GB"/>
              </w:rPr>
            </w:pPr>
            <w:r w:rsidRPr="00CF4C4E">
              <w:rPr>
                <w:lang w:val="en-GB"/>
              </w:rPr>
              <w:t>Military Intelligence Agency</w:t>
            </w:r>
          </w:p>
        </w:tc>
      </w:tr>
      <w:tr w:rsidR="0082149B" w:rsidRPr="00CF4C4E" w:rsidTr="00CB13E8">
        <w:tc>
          <w:tcPr>
            <w:tcW w:w="2093" w:type="dxa"/>
          </w:tcPr>
          <w:p w:rsidR="0082149B" w:rsidRPr="00CF4C4E" w:rsidRDefault="0082149B" w:rsidP="00CF4C4E">
            <w:pPr>
              <w:rPr>
                <w:lang w:val="en-GB"/>
              </w:rPr>
            </w:pPr>
            <w:r w:rsidRPr="00CF4C4E">
              <w:rPr>
                <w:lang w:val="en-GB"/>
              </w:rPr>
              <w:t>GoS</w:t>
            </w:r>
          </w:p>
        </w:tc>
        <w:tc>
          <w:tcPr>
            <w:tcW w:w="7483" w:type="dxa"/>
          </w:tcPr>
          <w:p w:rsidR="0082149B" w:rsidRPr="00CF4C4E" w:rsidRDefault="0082149B" w:rsidP="00CF4C4E">
            <w:pPr>
              <w:rPr>
                <w:lang w:val="en-GB"/>
              </w:rPr>
            </w:pPr>
            <w:r w:rsidRPr="00CF4C4E">
              <w:rPr>
                <w:lang w:val="en-GB"/>
              </w:rPr>
              <w:t>Government of the Republic of Serbia</w:t>
            </w:r>
          </w:p>
        </w:tc>
      </w:tr>
      <w:tr w:rsidR="0082149B" w:rsidRPr="00CF4C4E" w:rsidTr="00CB13E8">
        <w:tc>
          <w:tcPr>
            <w:tcW w:w="2093" w:type="dxa"/>
          </w:tcPr>
          <w:p w:rsidR="0082149B" w:rsidRPr="00CF4C4E" w:rsidRDefault="0082149B" w:rsidP="00CF4C4E">
            <w:pPr>
              <w:rPr>
                <w:lang w:val="en-GB"/>
              </w:rPr>
            </w:pPr>
            <w:r w:rsidRPr="00CF4C4E">
              <w:rPr>
                <w:lang w:val="en-GB"/>
              </w:rPr>
              <w:t>HC</w:t>
            </w:r>
          </w:p>
        </w:tc>
        <w:tc>
          <w:tcPr>
            <w:tcW w:w="7483" w:type="dxa"/>
          </w:tcPr>
          <w:p w:rsidR="0082149B" w:rsidRPr="00CF4C4E" w:rsidRDefault="0082149B" w:rsidP="00CF4C4E">
            <w:pPr>
              <w:rPr>
                <w:lang w:val="en-GB"/>
              </w:rPr>
            </w:pPr>
            <w:r w:rsidRPr="00CF4C4E">
              <w:rPr>
                <w:lang w:val="en-GB"/>
              </w:rPr>
              <w:t>Higher court</w:t>
            </w:r>
          </w:p>
        </w:tc>
      </w:tr>
      <w:tr w:rsidR="0082149B" w:rsidRPr="00CF4C4E" w:rsidTr="00CB13E8">
        <w:tc>
          <w:tcPr>
            <w:tcW w:w="2093" w:type="dxa"/>
          </w:tcPr>
          <w:p w:rsidR="0082149B" w:rsidRPr="00CF4C4E" w:rsidRDefault="0082149B" w:rsidP="00CF4C4E">
            <w:pPr>
              <w:rPr>
                <w:lang w:val="en-GB"/>
              </w:rPr>
            </w:pPr>
            <w:r w:rsidRPr="00CF4C4E">
              <w:rPr>
                <w:lang w:val="en-GB"/>
              </w:rPr>
              <w:t>HJC</w:t>
            </w:r>
          </w:p>
        </w:tc>
        <w:tc>
          <w:tcPr>
            <w:tcW w:w="7483" w:type="dxa"/>
          </w:tcPr>
          <w:p w:rsidR="0082149B" w:rsidRPr="00CF4C4E" w:rsidRDefault="0082149B" w:rsidP="00CF4C4E">
            <w:pPr>
              <w:rPr>
                <w:lang w:val="en-GB"/>
              </w:rPr>
            </w:pPr>
            <w:r w:rsidRPr="00CF4C4E">
              <w:rPr>
                <w:lang w:val="en-GB"/>
              </w:rPr>
              <w:t>High Judicial Council</w:t>
            </w:r>
          </w:p>
        </w:tc>
      </w:tr>
      <w:tr w:rsidR="0082149B" w:rsidRPr="00CF4C4E" w:rsidTr="00CB13E8">
        <w:tc>
          <w:tcPr>
            <w:tcW w:w="2093" w:type="dxa"/>
          </w:tcPr>
          <w:p w:rsidR="0082149B" w:rsidRPr="00CF4C4E" w:rsidRDefault="0082149B" w:rsidP="00CF4C4E">
            <w:pPr>
              <w:rPr>
                <w:lang w:val="en-GB"/>
              </w:rPr>
            </w:pPr>
            <w:r w:rsidRPr="00CF4C4E">
              <w:rPr>
                <w:lang w:val="en-GB"/>
              </w:rPr>
              <w:t>SAI</w:t>
            </w:r>
          </w:p>
        </w:tc>
        <w:tc>
          <w:tcPr>
            <w:tcW w:w="7483" w:type="dxa"/>
          </w:tcPr>
          <w:p w:rsidR="0082149B" w:rsidRPr="00CF4C4E" w:rsidRDefault="0082149B" w:rsidP="00CF4C4E">
            <w:pPr>
              <w:rPr>
                <w:lang w:val="en-GB"/>
              </w:rPr>
            </w:pPr>
            <w:r w:rsidRPr="00CF4C4E">
              <w:rPr>
                <w:lang w:val="en-GB"/>
              </w:rPr>
              <w:t>State Audit Institution</w:t>
            </w:r>
          </w:p>
        </w:tc>
      </w:tr>
      <w:tr w:rsidR="0082149B" w:rsidRPr="00CF4C4E" w:rsidTr="00CB13E8">
        <w:tc>
          <w:tcPr>
            <w:tcW w:w="2093" w:type="dxa"/>
          </w:tcPr>
          <w:p w:rsidR="0082149B" w:rsidRPr="00CF4C4E" w:rsidRDefault="0082149B" w:rsidP="00CF4C4E">
            <w:pPr>
              <w:rPr>
                <w:lang w:val="en-GB"/>
              </w:rPr>
            </w:pPr>
            <w:r w:rsidRPr="00CF4C4E">
              <w:rPr>
                <w:lang w:val="en-GB"/>
              </w:rPr>
              <w:t>CLI</w:t>
            </w:r>
          </w:p>
        </w:tc>
        <w:tc>
          <w:tcPr>
            <w:tcW w:w="7483" w:type="dxa"/>
          </w:tcPr>
          <w:p w:rsidR="0082149B" w:rsidRPr="00CF4C4E" w:rsidRDefault="00291FF2" w:rsidP="00CF4C4E">
            <w:pPr>
              <w:rPr>
                <w:lang w:val="en-GB"/>
              </w:rPr>
            </w:pPr>
            <w:r w:rsidRPr="00CF4C4E">
              <w:rPr>
                <w:lang w:val="en-GB"/>
              </w:rPr>
              <w:t>Comparative Law Institute</w:t>
            </w:r>
          </w:p>
        </w:tc>
      </w:tr>
      <w:tr w:rsidR="0082149B" w:rsidRPr="00CF4C4E" w:rsidTr="00CB13E8">
        <w:tc>
          <w:tcPr>
            <w:tcW w:w="2093" w:type="dxa"/>
          </w:tcPr>
          <w:p w:rsidR="0082149B" w:rsidRPr="00CF4C4E" w:rsidRDefault="0082149B" w:rsidP="00CF4C4E">
            <w:pPr>
              <w:rPr>
                <w:lang w:val="en-GB"/>
              </w:rPr>
            </w:pPr>
            <w:r w:rsidRPr="00CF4C4E">
              <w:rPr>
                <w:lang w:val="en-GB"/>
              </w:rPr>
              <w:t>CPN</w:t>
            </w:r>
          </w:p>
        </w:tc>
        <w:tc>
          <w:tcPr>
            <w:tcW w:w="7483" w:type="dxa"/>
          </w:tcPr>
          <w:p w:rsidR="0082149B" w:rsidRPr="00CF4C4E" w:rsidRDefault="00123637" w:rsidP="00CF4C4E">
            <w:pPr>
              <w:rPr>
                <w:lang w:val="en-GB"/>
              </w:rPr>
            </w:pPr>
            <w:r w:rsidRPr="00CF4C4E">
              <w:rPr>
                <w:lang w:val="en-GB"/>
              </w:rPr>
              <w:t>Chamber of Public Notaries</w:t>
            </w:r>
          </w:p>
        </w:tc>
      </w:tr>
      <w:tr w:rsidR="0082149B" w:rsidRPr="00CF4C4E" w:rsidTr="00CB13E8">
        <w:tc>
          <w:tcPr>
            <w:tcW w:w="2093" w:type="dxa"/>
          </w:tcPr>
          <w:p w:rsidR="0082149B" w:rsidRPr="00CF4C4E" w:rsidRDefault="0082149B" w:rsidP="00CF4C4E">
            <w:pPr>
              <w:rPr>
                <w:lang w:val="en-GB"/>
              </w:rPr>
            </w:pPr>
            <w:r w:rsidRPr="00CF4C4E">
              <w:rPr>
                <w:lang w:val="en-GB"/>
              </w:rPr>
              <w:t>OCCS</w:t>
            </w:r>
          </w:p>
        </w:tc>
        <w:tc>
          <w:tcPr>
            <w:tcW w:w="7483" w:type="dxa"/>
          </w:tcPr>
          <w:p w:rsidR="0082149B" w:rsidRPr="00CF4C4E" w:rsidRDefault="0082149B" w:rsidP="00CF4C4E">
            <w:pPr>
              <w:rPr>
                <w:lang w:val="en-GB"/>
              </w:rPr>
            </w:pPr>
            <w:r w:rsidRPr="00CF4C4E">
              <w:rPr>
                <w:lang w:val="en-GB"/>
              </w:rPr>
              <w:t>Office for Cooperation with Civil Society</w:t>
            </w:r>
          </w:p>
        </w:tc>
      </w:tr>
      <w:tr w:rsidR="0082149B" w:rsidRPr="00CF4C4E" w:rsidTr="00CB13E8">
        <w:tc>
          <w:tcPr>
            <w:tcW w:w="2093" w:type="dxa"/>
          </w:tcPr>
          <w:p w:rsidR="0082149B" w:rsidRPr="00CF4C4E" w:rsidRDefault="0082149B" w:rsidP="00CF4C4E">
            <w:pPr>
              <w:rPr>
                <w:lang w:val="en-GB"/>
              </w:rPr>
            </w:pPr>
            <w:r w:rsidRPr="00CF4C4E">
              <w:rPr>
                <w:lang w:val="en-GB"/>
              </w:rPr>
              <w:t>CCIO</w:t>
            </w:r>
          </w:p>
        </w:tc>
        <w:tc>
          <w:tcPr>
            <w:tcW w:w="7483" w:type="dxa"/>
          </w:tcPr>
          <w:p w:rsidR="0082149B" w:rsidRPr="00CF4C4E" w:rsidRDefault="0082149B" w:rsidP="00CF4C4E">
            <w:pPr>
              <w:rPr>
                <w:lang w:val="en-GB"/>
              </w:rPr>
            </w:pPr>
            <w:r w:rsidRPr="00CF4C4E">
              <w:rPr>
                <w:lang w:val="en-GB"/>
              </w:rPr>
              <w:t xml:space="preserve">Coordination Commission for Inspection Oversight </w:t>
            </w:r>
          </w:p>
        </w:tc>
      </w:tr>
      <w:tr w:rsidR="0082149B" w:rsidRPr="00CF4C4E" w:rsidTr="00CB13E8">
        <w:tc>
          <w:tcPr>
            <w:tcW w:w="2093" w:type="dxa"/>
          </w:tcPr>
          <w:p w:rsidR="0082149B" w:rsidRPr="00CF4C4E" w:rsidRDefault="0082149B" w:rsidP="00CF4C4E">
            <w:pPr>
              <w:rPr>
                <w:lang w:val="en-GB"/>
              </w:rPr>
            </w:pPr>
            <w:r w:rsidRPr="00CF4C4E">
              <w:rPr>
                <w:lang w:val="en-GB"/>
              </w:rPr>
              <w:t>NSCCIPO</w:t>
            </w:r>
          </w:p>
        </w:tc>
        <w:tc>
          <w:tcPr>
            <w:tcW w:w="7483" w:type="dxa"/>
          </w:tcPr>
          <w:p w:rsidR="0082149B" w:rsidRPr="00CF4C4E" w:rsidRDefault="0082149B" w:rsidP="00CF4C4E">
            <w:pPr>
              <w:rPr>
                <w:lang w:val="en-GB"/>
              </w:rPr>
            </w:pPr>
            <w:r w:rsidRPr="00CF4C4E">
              <w:rPr>
                <w:lang w:val="en-GB"/>
              </w:rPr>
              <w:t>Office of the National Security Council and Classified Information Protection</w:t>
            </w:r>
          </w:p>
        </w:tc>
      </w:tr>
      <w:tr w:rsidR="0082149B" w:rsidRPr="00CF4C4E" w:rsidTr="00CB13E8">
        <w:tc>
          <w:tcPr>
            <w:tcW w:w="2093" w:type="dxa"/>
          </w:tcPr>
          <w:p w:rsidR="0082149B" w:rsidRPr="00CF4C4E" w:rsidRDefault="0082149B" w:rsidP="00CF4C4E">
            <w:pPr>
              <w:rPr>
                <w:lang w:val="en-GB"/>
              </w:rPr>
            </w:pPr>
            <w:r w:rsidRPr="00CF4C4E">
              <w:rPr>
                <w:lang w:val="en-GB"/>
              </w:rPr>
              <w:t>AML/CFT CB</w:t>
            </w:r>
          </w:p>
        </w:tc>
        <w:tc>
          <w:tcPr>
            <w:tcW w:w="7483" w:type="dxa"/>
          </w:tcPr>
          <w:p w:rsidR="0082149B" w:rsidRPr="00CF4C4E" w:rsidRDefault="0082149B" w:rsidP="00CF4C4E">
            <w:pPr>
              <w:rPr>
                <w:lang w:val="en-GB"/>
              </w:rPr>
            </w:pPr>
            <w:r w:rsidRPr="00CF4C4E">
              <w:rPr>
                <w:lang w:val="en-GB"/>
              </w:rPr>
              <w:t>Coordination Body for the Prevention of Money Laundering and the Financing of Terrorism</w:t>
            </w:r>
          </w:p>
        </w:tc>
      </w:tr>
      <w:tr w:rsidR="0082149B" w:rsidRPr="00CF4C4E" w:rsidTr="00CB13E8">
        <w:tc>
          <w:tcPr>
            <w:tcW w:w="2093" w:type="dxa"/>
          </w:tcPr>
          <w:p w:rsidR="0082149B" w:rsidRPr="00CF4C4E" w:rsidRDefault="0082149B" w:rsidP="00CF4C4E">
            <w:pPr>
              <w:rPr>
                <w:lang w:val="en-GB"/>
              </w:rPr>
            </w:pPr>
            <w:r w:rsidRPr="00CF4C4E">
              <w:rPr>
                <w:lang w:val="en-GB"/>
              </w:rPr>
              <w:t>SC</w:t>
            </w:r>
          </w:p>
        </w:tc>
        <w:tc>
          <w:tcPr>
            <w:tcW w:w="7483" w:type="dxa"/>
          </w:tcPr>
          <w:p w:rsidR="0082149B" w:rsidRPr="00CF4C4E" w:rsidRDefault="0082149B" w:rsidP="00CF4C4E">
            <w:pPr>
              <w:rPr>
                <w:lang w:val="en-GB"/>
              </w:rPr>
            </w:pPr>
            <w:r w:rsidRPr="00CF4C4E">
              <w:rPr>
                <w:lang w:val="en-GB"/>
              </w:rPr>
              <w:t>Securities Commission</w:t>
            </w:r>
          </w:p>
        </w:tc>
      </w:tr>
      <w:tr w:rsidR="0082149B" w:rsidRPr="00CF4C4E" w:rsidTr="00CB13E8">
        <w:tc>
          <w:tcPr>
            <w:tcW w:w="2093" w:type="dxa"/>
          </w:tcPr>
          <w:p w:rsidR="0082149B" w:rsidRPr="00CF4C4E" w:rsidRDefault="0082149B" w:rsidP="00CF4C4E">
            <w:pPr>
              <w:rPr>
                <w:lang w:val="en-GB"/>
              </w:rPr>
            </w:pPr>
            <w:r w:rsidRPr="00CF4C4E">
              <w:rPr>
                <w:lang w:val="en-GB"/>
              </w:rPr>
              <w:t>MPALSG</w:t>
            </w:r>
          </w:p>
        </w:tc>
        <w:tc>
          <w:tcPr>
            <w:tcW w:w="7483" w:type="dxa"/>
          </w:tcPr>
          <w:p w:rsidR="0082149B" w:rsidRPr="00CF4C4E" w:rsidRDefault="0082149B" w:rsidP="00CF4C4E">
            <w:pPr>
              <w:rPr>
                <w:lang w:val="en-GB"/>
              </w:rPr>
            </w:pPr>
            <w:r w:rsidRPr="00CF4C4E">
              <w:rPr>
                <w:lang w:val="en-GB"/>
              </w:rPr>
              <w:t>Ministry of Public Administration and Local Self-Government</w:t>
            </w:r>
          </w:p>
        </w:tc>
      </w:tr>
      <w:tr w:rsidR="0082149B" w:rsidRPr="00CF4C4E" w:rsidTr="00CB13E8">
        <w:tc>
          <w:tcPr>
            <w:tcW w:w="2093" w:type="dxa"/>
          </w:tcPr>
          <w:p w:rsidR="0082149B" w:rsidRPr="00CF4C4E" w:rsidRDefault="0082149B" w:rsidP="00CF4C4E">
            <w:pPr>
              <w:rPr>
                <w:lang w:val="en-GB"/>
              </w:rPr>
            </w:pPr>
            <w:r w:rsidRPr="00CF4C4E">
              <w:rPr>
                <w:lang w:val="en-GB"/>
              </w:rPr>
              <w:t>MPALSG-AI</w:t>
            </w:r>
          </w:p>
        </w:tc>
        <w:tc>
          <w:tcPr>
            <w:tcW w:w="7483" w:type="dxa"/>
          </w:tcPr>
          <w:p w:rsidR="0082149B" w:rsidRPr="00CF4C4E" w:rsidRDefault="0082149B" w:rsidP="00CF4C4E">
            <w:pPr>
              <w:rPr>
                <w:lang w:val="en-GB"/>
              </w:rPr>
            </w:pPr>
            <w:r w:rsidRPr="00CF4C4E">
              <w:rPr>
                <w:lang w:val="en-GB"/>
              </w:rPr>
              <w:t>Ministry of Public Administration and Local Self-Government - Administrative Inspectorate</w:t>
            </w:r>
          </w:p>
        </w:tc>
      </w:tr>
      <w:tr w:rsidR="0082149B" w:rsidRPr="00CF4C4E" w:rsidTr="00CB13E8">
        <w:tc>
          <w:tcPr>
            <w:tcW w:w="2093" w:type="dxa"/>
          </w:tcPr>
          <w:p w:rsidR="0082149B" w:rsidRPr="00CF4C4E" w:rsidRDefault="0082149B" w:rsidP="00CF4C4E">
            <w:pPr>
              <w:rPr>
                <w:lang w:val="en-GB"/>
              </w:rPr>
            </w:pPr>
            <w:r w:rsidRPr="00CF4C4E">
              <w:rPr>
                <w:lang w:val="en-GB"/>
              </w:rPr>
              <w:t>MCI</w:t>
            </w:r>
          </w:p>
        </w:tc>
        <w:tc>
          <w:tcPr>
            <w:tcW w:w="7483" w:type="dxa"/>
          </w:tcPr>
          <w:p w:rsidR="0082149B" w:rsidRPr="00CF4C4E" w:rsidRDefault="0082149B" w:rsidP="00CF4C4E">
            <w:pPr>
              <w:rPr>
                <w:lang w:val="en-GB"/>
              </w:rPr>
            </w:pPr>
            <w:r w:rsidRPr="00CF4C4E">
              <w:rPr>
                <w:lang w:val="en-GB"/>
              </w:rPr>
              <w:t>Ministry of Culture and Information</w:t>
            </w:r>
          </w:p>
        </w:tc>
      </w:tr>
      <w:tr w:rsidR="0082149B" w:rsidRPr="00CF4C4E" w:rsidTr="00CB13E8">
        <w:tc>
          <w:tcPr>
            <w:tcW w:w="2093" w:type="dxa"/>
          </w:tcPr>
          <w:p w:rsidR="0082149B" w:rsidRPr="00CF4C4E" w:rsidRDefault="0082149B" w:rsidP="00CF4C4E">
            <w:pPr>
              <w:rPr>
                <w:lang w:val="en-GB"/>
              </w:rPr>
            </w:pPr>
            <w:r w:rsidRPr="00CF4C4E">
              <w:rPr>
                <w:lang w:val="en-GB"/>
              </w:rPr>
              <w:t>MoJ</w:t>
            </w:r>
          </w:p>
        </w:tc>
        <w:tc>
          <w:tcPr>
            <w:tcW w:w="7483" w:type="dxa"/>
          </w:tcPr>
          <w:p w:rsidR="0082149B" w:rsidRPr="00CF4C4E" w:rsidRDefault="0082149B" w:rsidP="00CF4C4E">
            <w:pPr>
              <w:rPr>
                <w:lang w:val="en-GB"/>
              </w:rPr>
            </w:pPr>
            <w:r w:rsidRPr="00CF4C4E">
              <w:rPr>
                <w:lang w:val="en-GB"/>
              </w:rPr>
              <w:t>Ministry of Justice</w:t>
            </w:r>
          </w:p>
        </w:tc>
      </w:tr>
      <w:tr w:rsidR="0082149B" w:rsidRPr="00CF4C4E" w:rsidTr="00CB13E8">
        <w:tc>
          <w:tcPr>
            <w:tcW w:w="2093" w:type="dxa"/>
          </w:tcPr>
          <w:p w:rsidR="0082149B" w:rsidRPr="00CF4C4E" w:rsidRDefault="0082149B" w:rsidP="00CF4C4E">
            <w:pPr>
              <w:rPr>
                <w:lang w:val="en-GB"/>
              </w:rPr>
            </w:pPr>
            <w:r w:rsidRPr="00CF4C4E">
              <w:rPr>
                <w:lang w:val="en-GB"/>
              </w:rPr>
              <w:t>MoJ-DMSCA</w:t>
            </w:r>
          </w:p>
        </w:tc>
        <w:tc>
          <w:tcPr>
            <w:tcW w:w="7483" w:type="dxa"/>
          </w:tcPr>
          <w:p w:rsidR="0082149B" w:rsidRPr="00CF4C4E" w:rsidRDefault="0082149B" w:rsidP="00CF4C4E">
            <w:pPr>
              <w:rPr>
                <w:lang w:val="en-GB"/>
              </w:rPr>
            </w:pPr>
            <w:r w:rsidRPr="00CF4C4E">
              <w:rPr>
                <w:lang w:val="en-GB"/>
              </w:rPr>
              <w:t>Ministry of Justice - Directorate for Management of Seized/Confiscated Assets</w:t>
            </w:r>
          </w:p>
        </w:tc>
      </w:tr>
      <w:tr w:rsidR="0082149B" w:rsidRPr="00CF4C4E" w:rsidTr="00CB13E8">
        <w:tc>
          <w:tcPr>
            <w:tcW w:w="2093" w:type="dxa"/>
          </w:tcPr>
          <w:p w:rsidR="0082149B" w:rsidRPr="00CF4C4E" w:rsidRDefault="0082149B" w:rsidP="00CF4C4E">
            <w:pPr>
              <w:rPr>
                <w:lang w:val="en-GB"/>
              </w:rPr>
            </w:pPr>
            <w:r w:rsidRPr="00CF4C4E">
              <w:rPr>
                <w:lang w:val="en-GB"/>
              </w:rPr>
              <w:t>MinEcon</w:t>
            </w:r>
          </w:p>
        </w:tc>
        <w:tc>
          <w:tcPr>
            <w:tcW w:w="7483" w:type="dxa"/>
          </w:tcPr>
          <w:p w:rsidR="0082149B" w:rsidRPr="00CF4C4E" w:rsidRDefault="0082149B" w:rsidP="00CF4C4E">
            <w:pPr>
              <w:rPr>
                <w:lang w:val="en-GB"/>
              </w:rPr>
            </w:pPr>
            <w:r w:rsidRPr="00CF4C4E">
              <w:rPr>
                <w:lang w:val="en-GB"/>
              </w:rPr>
              <w:t>Ministry of Economy</w:t>
            </w:r>
          </w:p>
        </w:tc>
      </w:tr>
      <w:tr w:rsidR="0082149B" w:rsidRPr="00CF4C4E" w:rsidTr="00CB13E8">
        <w:tc>
          <w:tcPr>
            <w:tcW w:w="2093" w:type="dxa"/>
          </w:tcPr>
          <w:p w:rsidR="0082149B" w:rsidRPr="00CF4C4E" w:rsidRDefault="0082149B" w:rsidP="00CF4C4E">
            <w:pPr>
              <w:rPr>
                <w:lang w:val="en-GB"/>
              </w:rPr>
            </w:pPr>
            <w:r w:rsidRPr="00CF4C4E">
              <w:rPr>
                <w:lang w:val="en-GB"/>
              </w:rPr>
              <w:t>MTTT</w:t>
            </w:r>
          </w:p>
        </w:tc>
        <w:tc>
          <w:tcPr>
            <w:tcW w:w="7483" w:type="dxa"/>
          </w:tcPr>
          <w:p w:rsidR="0082149B" w:rsidRPr="00CF4C4E" w:rsidRDefault="0082149B" w:rsidP="00CF4C4E">
            <w:pPr>
              <w:rPr>
                <w:lang w:val="en-GB"/>
              </w:rPr>
            </w:pPr>
            <w:r w:rsidRPr="00CF4C4E">
              <w:rPr>
                <w:lang w:val="en-GB"/>
              </w:rPr>
              <w:t>Ministry of Trade, Tourism and Telecommunications</w:t>
            </w:r>
          </w:p>
        </w:tc>
      </w:tr>
      <w:tr w:rsidR="0082149B" w:rsidRPr="00CF4C4E" w:rsidTr="00CB13E8">
        <w:tc>
          <w:tcPr>
            <w:tcW w:w="2093" w:type="dxa"/>
          </w:tcPr>
          <w:p w:rsidR="0082149B" w:rsidRPr="00CF4C4E" w:rsidRDefault="0082149B" w:rsidP="00CF4C4E">
            <w:pPr>
              <w:rPr>
                <w:lang w:val="en-GB"/>
              </w:rPr>
            </w:pPr>
            <w:r w:rsidRPr="00CF4C4E">
              <w:rPr>
                <w:lang w:val="en-GB"/>
              </w:rPr>
              <w:t>MoI</w:t>
            </w:r>
          </w:p>
        </w:tc>
        <w:tc>
          <w:tcPr>
            <w:tcW w:w="7483" w:type="dxa"/>
          </w:tcPr>
          <w:p w:rsidR="0082149B" w:rsidRPr="00CF4C4E" w:rsidRDefault="0082149B" w:rsidP="00CF4C4E">
            <w:pPr>
              <w:rPr>
                <w:lang w:val="en-GB"/>
              </w:rPr>
            </w:pPr>
            <w:r w:rsidRPr="00CF4C4E">
              <w:rPr>
                <w:lang w:val="en-GB"/>
              </w:rPr>
              <w:t>Ministry of the Interior</w:t>
            </w:r>
          </w:p>
        </w:tc>
      </w:tr>
      <w:tr w:rsidR="0082149B" w:rsidRPr="00CF4C4E" w:rsidTr="00CB13E8">
        <w:tc>
          <w:tcPr>
            <w:tcW w:w="2093" w:type="dxa"/>
          </w:tcPr>
          <w:p w:rsidR="0082149B" w:rsidRPr="00CF4C4E" w:rsidRDefault="0082149B" w:rsidP="00CF4C4E">
            <w:pPr>
              <w:rPr>
                <w:lang w:val="en-GB"/>
              </w:rPr>
            </w:pPr>
            <w:r w:rsidRPr="00CF4C4E">
              <w:rPr>
                <w:lang w:val="en-GB"/>
              </w:rPr>
              <w:t>MoF</w:t>
            </w:r>
          </w:p>
        </w:tc>
        <w:tc>
          <w:tcPr>
            <w:tcW w:w="7483" w:type="dxa"/>
          </w:tcPr>
          <w:p w:rsidR="0082149B" w:rsidRPr="00CF4C4E" w:rsidRDefault="0082149B" w:rsidP="00CF4C4E">
            <w:pPr>
              <w:rPr>
                <w:lang w:val="en-GB"/>
              </w:rPr>
            </w:pPr>
            <w:r w:rsidRPr="00CF4C4E">
              <w:rPr>
                <w:lang w:val="en-GB"/>
              </w:rPr>
              <w:t>Ministry of Finance</w:t>
            </w:r>
          </w:p>
        </w:tc>
      </w:tr>
      <w:tr w:rsidR="0082149B" w:rsidRPr="00CF4C4E" w:rsidTr="00CB13E8">
        <w:tc>
          <w:tcPr>
            <w:tcW w:w="2093" w:type="dxa"/>
          </w:tcPr>
          <w:p w:rsidR="0082149B" w:rsidRPr="00CF4C4E" w:rsidRDefault="0082149B" w:rsidP="00CF4C4E">
            <w:pPr>
              <w:rPr>
                <w:lang w:val="en-GB"/>
              </w:rPr>
            </w:pPr>
            <w:r w:rsidRPr="00CF4C4E">
              <w:rPr>
                <w:lang w:val="en-GB"/>
              </w:rPr>
              <w:t>Supervisory authorities</w:t>
            </w:r>
          </w:p>
        </w:tc>
        <w:tc>
          <w:tcPr>
            <w:tcW w:w="7483" w:type="dxa"/>
          </w:tcPr>
          <w:p w:rsidR="0082149B" w:rsidRPr="00CF4C4E" w:rsidRDefault="00BC6F23" w:rsidP="00CF4C4E">
            <w:pPr>
              <w:rPr>
                <w:lang w:val="en-GB"/>
              </w:rPr>
            </w:pPr>
            <w:r w:rsidRPr="00CF4C4E">
              <w:rPr>
                <w:lang w:val="en-GB"/>
              </w:rPr>
              <w:t>Supervisory authorities under the AML/CFT Law (NBS, MTTT, SC, CPN, SBA, GCHA, APML, MoF-TA)</w:t>
            </w:r>
          </w:p>
        </w:tc>
      </w:tr>
      <w:tr w:rsidR="0082149B" w:rsidRPr="00CF4C4E" w:rsidTr="00CB13E8">
        <w:tc>
          <w:tcPr>
            <w:tcW w:w="2093" w:type="dxa"/>
          </w:tcPr>
          <w:p w:rsidR="0082149B" w:rsidRPr="00CF4C4E" w:rsidRDefault="0082149B" w:rsidP="00CF4C4E">
            <w:pPr>
              <w:rPr>
                <w:lang w:val="en-GB"/>
              </w:rPr>
            </w:pPr>
            <w:r w:rsidRPr="00CF4C4E">
              <w:rPr>
                <w:lang w:val="en-GB"/>
              </w:rPr>
              <w:t>NBS</w:t>
            </w:r>
          </w:p>
        </w:tc>
        <w:tc>
          <w:tcPr>
            <w:tcW w:w="7483" w:type="dxa"/>
          </w:tcPr>
          <w:p w:rsidR="0082149B" w:rsidRPr="00CF4C4E" w:rsidRDefault="0082149B" w:rsidP="00CF4C4E">
            <w:pPr>
              <w:rPr>
                <w:lang w:val="en-GB"/>
              </w:rPr>
            </w:pPr>
            <w:r w:rsidRPr="00CF4C4E">
              <w:rPr>
                <w:lang w:val="en-GB"/>
              </w:rPr>
              <w:t>National Bank of Serbia</w:t>
            </w:r>
          </w:p>
        </w:tc>
      </w:tr>
      <w:tr w:rsidR="0082149B" w:rsidRPr="00CF4C4E" w:rsidTr="00CB13E8">
        <w:tc>
          <w:tcPr>
            <w:tcW w:w="2093" w:type="dxa"/>
          </w:tcPr>
          <w:p w:rsidR="0082149B" w:rsidRPr="00CF4C4E" w:rsidRDefault="0082149B" w:rsidP="00CF4C4E">
            <w:pPr>
              <w:rPr>
                <w:lang w:val="en-GB"/>
              </w:rPr>
            </w:pPr>
            <w:r w:rsidRPr="00CF4C4E">
              <w:rPr>
                <w:lang w:val="en-GB"/>
              </w:rPr>
              <w:t>NCBT</w:t>
            </w:r>
          </w:p>
        </w:tc>
        <w:tc>
          <w:tcPr>
            <w:tcW w:w="7483" w:type="dxa"/>
          </w:tcPr>
          <w:p w:rsidR="0082149B" w:rsidRPr="00CF4C4E" w:rsidRDefault="0082149B" w:rsidP="00CF4C4E">
            <w:pPr>
              <w:rPr>
                <w:lang w:val="en-GB"/>
              </w:rPr>
            </w:pPr>
            <w:r w:rsidRPr="00CF4C4E">
              <w:rPr>
                <w:lang w:val="en-GB"/>
              </w:rPr>
              <w:t>National Coordination Body for the Prevention and Fight Against Terrorism</w:t>
            </w:r>
          </w:p>
        </w:tc>
      </w:tr>
      <w:tr w:rsidR="0082149B" w:rsidRPr="00CF4C4E" w:rsidTr="00CB13E8">
        <w:tc>
          <w:tcPr>
            <w:tcW w:w="2093" w:type="dxa"/>
          </w:tcPr>
          <w:p w:rsidR="0082149B" w:rsidRPr="00CF4C4E" w:rsidRDefault="0082149B" w:rsidP="00CF4C4E">
            <w:pPr>
              <w:rPr>
                <w:lang w:val="en-GB"/>
              </w:rPr>
            </w:pPr>
            <w:r w:rsidRPr="00CF4C4E">
              <w:rPr>
                <w:lang w:val="en-GB"/>
              </w:rPr>
              <w:t>NPO sector</w:t>
            </w:r>
          </w:p>
        </w:tc>
        <w:tc>
          <w:tcPr>
            <w:tcW w:w="7483" w:type="dxa"/>
          </w:tcPr>
          <w:p w:rsidR="0082149B" w:rsidRPr="00CF4C4E" w:rsidRDefault="0082149B" w:rsidP="00CF4C4E">
            <w:pPr>
              <w:rPr>
                <w:lang w:val="en-GB"/>
              </w:rPr>
            </w:pPr>
            <w:r w:rsidRPr="00CF4C4E">
              <w:rPr>
                <w:lang w:val="en-GB"/>
              </w:rPr>
              <w:t>Non-profit sector</w:t>
            </w:r>
          </w:p>
        </w:tc>
      </w:tr>
      <w:tr w:rsidR="0082149B" w:rsidRPr="00CF4C4E" w:rsidTr="00CB13E8">
        <w:tc>
          <w:tcPr>
            <w:tcW w:w="2093" w:type="dxa"/>
          </w:tcPr>
          <w:p w:rsidR="0082149B" w:rsidRPr="00CF4C4E" w:rsidRDefault="0082149B" w:rsidP="00CF4C4E">
            <w:pPr>
              <w:rPr>
                <w:lang w:val="en-GB"/>
              </w:rPr>
            </w:pPr>
            <w:r w:rsidRPr="00CF4C4E">
              <w:rPr>
                <w:lang w:val="en-GB"/>
              </w:rPr>
              <w:t>JA</w:t>
            </w:r>
          </w:p>
        </w:tc>
        <w:tc>
          <w:tcPr>
            <w:tcW w:w="7483" w:type="dxa"/>
          </w:tcPr>
          <w:p w:rsidR="0082149B" w:rsidRPr="00CF4C4E" w:rsidRDefault="0082149B" w:rsidP="00CF4C4E">
            <w:pPr>
              <w:rPr>
                <w:lang w:val="en-GB"/>
              </w:rPr>
            </w:pPr>
            <w:r w:rsidRPr="00CF4C4E">
              <w:rPr>
                <w:lang w:val="en-GB"/>
              </w:rPr>
              <w:t>Judicial Academy</w:t>
            </w:r>
          </w:p>
        </w:tc>
      </w:tr>
      <w:tr w:rsidR="0082149B" w:rsidRPr="00CF4C4E" w:rsidTr="00CB13E8">
        <w:tc>
          <w:tcPr>
            <w:tcW w:w="2093" w:type="dxa"/>
          </w:tcPr>
          <w:p w:rsidR="0082149B" w:rsidRPr="00CF4C4E" w:rsidRDefault="0082149B" w:rsidP="00CF4C4E">
            <w:pPr>
              <w:rPr>
                <w:lang w:val="en-GB"/>
              </w:rPr>
            </w:pPr>
            <w:r w:rsidRPr="00CF4C4E">
              <w:rPr>
                <w:lang w:val="en-GB"/>
              </w:rPr>
              <w:t>AMC</w:t>
            </w:r>
          </w:p>
        </w:tc>
        <w:tc>
          <w:tcPr>
            <w:tcW w:w="7483" w:type="dxa"/>
          </w:tcPr>
          <w:p w:rsidR="0082149B" w:rsidRPr="00CF4C4E" w:rsidRDefault="0082149B" w:rsidP="00CF4C4E">
            <w:pPr>
              <w:rPr>
                <w:lang w:val="en-GB"/>
              </w:rPr>
            </w:pPr>
            <w:r w:rsidRPr="00CF4C4E">
              <w:rPr>
                <w:lang w:val="en-GB"/>
              </w:rPr>
              <w:t>Appellate Misdemeanour Court</w:t>
            </w:r>
          </w:p>
        </w:tc>
      </w:tr>
      <w:tr w:rsidR="0082149B" w:rsidRPr="00CF4C4E" w:rsidTr="00CB13E8">
        <w:tc>
          <w:tcPr>
            <w:tcW w:w="2093" w:type="dxa"/>
          </w:tcPr>
          <w:p w:rsidR="0082149B" w:rsidRPr="00CF4C4E" w:rsidRDefault="0082149B" w:rsidP="00CF4C4E">
            <w:pPr>
              <w:rPr>
                <w:lang w:val="en-GB"/>
              </w:rPr>
            </w:pPr>
            <w:r w:rsidRPr="00CF4C4E">
              <w:rPr>
                <w:lang w:val="en-GB"/>
              </w:rPr>
              <w:t>SCCI</w:t>
            </w:r>
          </w:p>
        </w:tc>
        <w:tc>
          <w:tcPr>
            <w:tcW w:w="7483" w:type="dxa"/>
          </w:tcPr>
          <w:p w:rsidR="0082149B" w:rsidRPr="00CF4C4E" w:rsidRDefault="0082149B" w:rsidP="00CF4C4E">
            <w:pPr>
              <w:rPr>
                <w:lang w:val="en-GB"/>
              </w:rPr>
            </w:pPr>
            <w:r w:rsidRPr="00CF4C4E">
              <w:rPr>
                <w:lang w:val="en-GB"/>
              </w:rPr>
              <w:t>Serbian Chamber of Commerce and Industry</w:t>
            </w:r>
          </w:p>
        </w:tc>
      </w:tr>
      <w:tr w:rsidR="0082149B" w:rsidRPr="00CF4C4E" w:rsidTr="00CB13E8">
        <w:tc>
          <w:tcPr>
            <w:tcW w:w="2093" w:type="dxa"/>
          </w:tcPr>
          <w:p w:rsidR="0082149B" w:rsidRPr="00CF4C4E" w:rsidRDefault="0082149B" w:rsidP="00CF4C4E">
            <w:pPr>
              <w:rPr>
                <w:lang w:val="en-GB"/>
              </w:rPr>
            </w:pPr>
            <w:r w:rsidRPr="00CF4C4E">
              <w:rPr>
                <w:lang w:val="en-GB"/>
              </w:rPr>
              <w:t>POLA</w:t>
            </w:r>
          </w:p>
        </w:tc>
        <w:tc>
          <w:tcPr>
            <w:tcW w:w="7483" w:type="dxa"/>
          </w:tcPr>
          <w:p w:rsidR="0082149B" w:rsidRPr="00CF4C4E" w:rsidRDefault="0082149B" w:rsidP="00CF4C4E">
            <w:pPr>
              <w:rPr>
                <w:lang w:val="en-GB"/>
              </w:rPr>
            </w:pPr>
            <w:r w:rsidRPr="00CF4C4E">
              <w:rPr>
                <w:lang w:val="en-GB"/>
              </w:rPr>
              <w:t>Police Academy</w:t>
            </w:r>
          </w:p>
        </w:tc>
      </w:tr>
      <w:tr w:rsidR="0082149B" w:rsidRPr="00CF4C4E" w:rsidTr="00CB13E8">
        <w:tc>
          <w:tcPr>
            <w:tcW w:w="2093" w:type="dxa"/>
          </w:tcPr>
          <w:p w:rsidR="0082149B" w:rsidRPr="00CF4C4E" w:rsidRDefault="0082149B" w:rsidP="00CF4C4E">
            <w:pPr>
              <w:rPr>
                <w:lang w:val="en-GB"/>
              </w:rPr>
            </w:pPr>
            <w:r w:rsidRPr="00CF4C4E">
              <w:rPr>
                <w:lang w:val="en-GB"/>
              </w:rPr>
              <w:t>MoF-TA-TPol</w:t>
            </w:r>
          </w:p>
        </w:tc>
        <w:tc>
          <w:tcPr>
            <w:tcW w:w="7483" w:type="dxa"/>
          </w:tcPr>
          <w:p w:rsidR="0082149B" w:rsidRPr="00CF4C4E" w:rsidRDefault="0082149B" w:rsidP="00CF4C4E">
            <w:pPr>
              <w:rPr>
                <w:lang w:val="en-GB"/>
              </w:rPr>
            </w:pPr>
            <w:r w:rsidRPr="00CF4C4E">
              <w:rPr>
                <w:lang w:val="en-GB"/>
              </w:rPr>
              <w:t>Tax Police</w:t>
            </w:r>
          </w:p>
        </w:tc>
      </w:tr>
      <w:tr w:rsidR="0082149B" w:rsidRPr="00CF4C4E" w:rsidTr="00CB13E8">
        <w:tc>
          <w:tcPr>
            <w:tcW w:w="2093" w:type="dxa"/>
          </w:tcPr>
          <w:p w:rsidR="0082149B" w:rsidRPr="00CF4C4E" w:rsidRDefault="0082149B" w:rsidP="00CF4C4E">
            <w:pPr>
              <w:rPr>
                <w:lang w:val="en-GB"/>
              </w:rPr>
            </w:pPr>
            <w:r w:rsidRPr="00CF4C4E">
              <w:rPr>
                <w:lang w:val="en-GB"/>
              </w:rPr>
              <w:t>CommC</w:t>
            </w:r>
          </w:p>
        </w:tc>
        <w:tc>
          <w:tcPr>
            <w:tcW w:w="7483" w:type="dxa"/>
          </w:tcPr>
          <w:p w:rsidR="0082149B" w:rsidRPr="00CF4C4E" w:rsidRDefault="0082149B" w:rsidP="00CF4C4E">
            <w:pPr>
              <w:rPr>
                <w:lang w:val="en-GB"/>
              </w:rPr>
            </w:pPr>
            <w:r w:rsidRPr="00CF4C4E">
              <w:rPr>
                <w:lang w:val="en-GB"/>
              </w:rPr>
              <w:t>Commercial Court</w:t>
            </w:r>
          </w:p>
        </w:tc>
      </w:tr>
      <w:tr w:rsidR="0082149B" w:rsidRPr="00CF4C4E" w:rsidTr="00CB13E8">
        <w:tc>
          <w:tcPr>
            <w:tcW w:w="2093" w:type="dxa"/>
          </w:tcPr>
          <w:p w:rsidR="0082149B" w:rsidRPr="00CF4C4E" w:rsidRDefault="0082149B" w:rsidP="00CF4C4E">
            <w:pPr>
              <w:rPr>
                <w:lang w:val="en-GB"/>
              </w:rPr>
            </w:pPr>
            <w:r w:rsidRPr="00CF4C4E">
              <w:rPr>
                <w:lang w:val="en-GB"/>
              </w:rPr>
              <w:t>MC</w:t>
            </w:r>
          </w:p>
        </w:tc>
        <w:tc>
          <w:tcPr>
            <w:tcW w:w="7483" w:type="dxa"/>
          </w:tcPr>
          <w:p w:rsidR="0082149B" w:rsidRPr="00CF4C4E" w:rsidRDefault="0082149B" w:rsidP="00CF4C4E">
            <w:pPr>
              <w:rPr>
                <w:lang w:val="en-GB"/>
              </w:rPr>
            </w:pPr>
            <w:r w:rsidRPr="00CF4C4E">
              <w:rPr>
                <w:lang w:val="en-GB"/>
              </w:rPr>
              <w:t>Misdemeanour court</w:t>
            </w:r>
          </w:p>
        </w:tc>
      </w:tr>
      <w:tr w:rsidR="0082149B" w:rsidRPr="00CF4C4E" w:rsidTr="00CB13E8">
        <w:tc>
          <w:tcPr>
            <w:tcW w:w="2093" w:type="dxa"/>
          </w:tcPr>
          <w:p w:rsidR="0082149B" w:rsidRPr="00CF4C4E" w:rsidRDefault="0082149B" w:rsidP="00CF4C4E">
            <w:pPr>
              <w:rPr>
                <w:lang w:val="en-GB"/>
              </w:rPr>
            </w:pPr>
            <w:r w:rsidRPr="00CF4C4E">
              <w:rPr>
                <w:lang w:val="en-GB"/>
              </w:rPr>
              <w:t>MoF-TA</w:t>
            </w:r>
          </w:p>
        </w:tc>
        <w:tc>
          <w:tcPr>
            <w:tcW w:w="7483" w:type="dxa"/>
          </w:tcPr>
          <w:p w:rsidR="0082149B" w:rsidRPr="00CF4C4E" w:rsidRDefault="0082149B" w:rsidP="00CF4C4E">
            <w:pPr>
              <w:rPr>
                <w:lang w:val="en-GB"/>
              </w:rPr>
            </w:pPr>
            <w:r w:rsidRPr="00CF4C4E">
              <w:rPr>
                <w:lang w:val="en-GB"/>
              </w:rPr>
              <w:t>Tax Administration</w:t>
            </w:r>
          </w:p>
        </w:tc>
      </w:tr>
      <w:tr w:rsidR="0082149B" w:rsidRPr="00CF4C4E" w:rsidTr="00CB13E8">
        <w:tc>
          <w:tcPr>
            <w:tcW w:w="2093" w:type="dxa"/>
          </w:tcPr>
          <w:p w:rsidR="0082149B" w:rsidRPr="00CF4C4E" w:rsidRDefault="0082149B" w:rsidP="00CF4C4E">
            <w:pPr>
              <w:rPr>
                <w:lang w:val="en-GB"/>
              </w:rPr>
            </w:pPr>
            <w:r w:rsidRPr="00CF4C4E">
              <w:rPr>
                <w:lang w:val="en-GB"/>
              </w:rPr>
              <w:lastRenderedPageBreak/>
              <w:t>RGA</w:t>
            </w:r>
          </w:p>
        </w:tc>
        <w:tc>
          <w:tcPr>
            <w:tcW w:w="7483" w:type="dxa"/>
          </w:tcPr>
          <w:p w:rsidR="0082149B" w:rsidRPr="00CF4C4E" w:rsidRDefault="0082149B" w:rsidP="00CF4C4E">
            <w:pPr>
              <w:rPr>
                <w:lang w:val="en-GB"/>
              </w:rPr>
            </w:pPr>
            <w:r w:rsidRPr="00CF4C4E">
              <w:rPr>
                <w:lang w:val="en-GB"/>
              </w:rPr>
              <w:t>Republic Geodetic Authority</w:t>
            </w:r>
          </w:p>
        </w:tc>
      </w:tr>
      <w:tr w:rsidR="0082149B" w:rsidRPr="00CF4C4E" w:rsidTr="00CB13E8">
        <w:tc>
          <w:tcPr>
            <w:tcW w:w="2093" w:type="dxa"/>
          </w:tcPr>
          <w:p w:rsidR="0082149B" w:rsidRPr="00CF4C4E" w:rsidRDefault="0082149B" w:rsidP="00CF4C4E">
            <w:pPr>
              <w:rPr>
                <w:lang w:val="en-GB"/>
              </w:rPr>
            </w:pPr>
            <w:r w:rsidRPr="00CF4C4E">
              <w:rPr>
                <w:lang w:val="en-GB"/>
              </w:rPr>
              <w:t>NPOWG</w:t>
            </w:r>
          </w:p>
        </w:tc>
        <w:tc>
          <w:tcPr>
            <w:tcW w:w="7483" w:type="dxa"/>
          </w:tcPr>
          <w:p w:rsidR="0082149B" w:rsidRPr="00CF4C4E" w:rsidRDefault="0082149B" w:rsidP="00CF4C4E">
            <w:pPr>
              <w:rPr>
                <w:lang w:val="en-GB"/>
              </w:rPr>
            </w:pPr>
            <w:r w:rsidRPr="00CF4C4E">
              <w:rPr>
                <w:lang w:val="en-GB"/>
              </w:rPr>
              <w:t>Working Group for Supervision of NPOs</w:t>
            </w:r>
          </w:p>
        </w:tc>
      </w:tr>
      <w:tr w:rsidR="0082149B" w:rsidRPr="00CF4C4E" w:rsidTr="00CB13E8">
        <w:tc>
          <w:tcPr>
            <w:tcW w:w="2093" w:type="dxa"/>
          </w:tcPr>
          <w:p w:rsidR="0082149B" w:rsidRPr="00CF4C4E" w:rsidRDefault="0082149B" w:rsidP="00CF4C4E">
            <w:pPr>
              <w:rPr>
                <w:lang w:val="en-GB"/>
              </w:rPr>
            </w:pPr>
            <w:r w:rsidRPr="00CF4C4E">
              <w:rPr>
                <w:lang w:val="en-GB"/>
              </w:rPr>
              <w:t>RSPD</w:t>
            </w:r>
          </w:p>
        </w:tc>
        <w:tc>
          <w:tcPr>
            <w:tcW w:w="7483" w:type="dxa"/>
          </w:tcPr>
          <w:p w:rsidR="0082149B" w:rsidRPr="00CF4C4E" w:rsidRDefault="0082149B" w:rsidP="00CF4C4E">
            <w:pPr>
              <w:rPr>
                <w:lang w:val="en-GB"/>
              </w:rPr>
            </w:pPr>
            <w:r w:rsidRPr="00CF4C4E">
              <w:rPr>
                <w:lang w:val="en-GB"/>
              </w:rPr>
              <w:t>Republic of Serbia Property Directorate</w:t>
            </w:r>
          </w:p>
        </w:tc>
      </w:tr>
      <w:tr w:rsidR="0082149B" w:rsidRPr="00CF4C4E" w:rsidTr="00CB13E8">
        <w:tc>
          <w:tcPr>
            <w:tcW w:w="2093" w:type="dxa"/>
          </w:tcPr>
          <w:p w:rsidR="0082149B" w:rsidRPr="00CF4C4E" w:rsidRDefault="0082149B" w:rsidP="00CF4C4E">
            <w:pPr>
              <w:rPr>
                <w:lang w:val="en-GB"/>
              </w:rPr>
            </w:pPr>
            <w:r w:rsidRPr="00CF4C4E">
              <w:rPr>
                <w:lang w:val="en-GB"/>
              </w:rPr>
              <w:t>RPPO</w:t>
            </w:r>
          </w:p>
        </w:tc>
        <w:tc>
          <w:tcPr>
            <w:tcW w:w="7483" w:type="dxa"/>
          </w:tcPr>
          <w:p w:rsidR="0082149B" w:rsidRPr="00CF4C4E" w:rsidRDefault="0082149B" w:rsidP="00CF4C4E">
            <w:pPr>
              <w:rPr>
                <w:lang w:val="en-GB"/>
              </w:rPr>
            </w:pPr>
            <w:r w:rsidRPr="00CF4C4E">
              <w:rPr>
                <w:lang w:val="en-GB"/>
              </w:rPr>
              <w:t>Republic Public Prosecutor’s Office</w:t>
            </w:r>
          </w:p>
        </w:tc>
      </w:tr>
      <w:tr w:rsidR="0082149B" w:rsidRPr="00CF4C4E" w:rsidTr="00CB13E8">
        <w:tc>
          <w:tcPr>
            <w:tcW w:w="2093" w:type="dxa"/>
          </w:tcPr>
          <w:p w:rsidR="0082149B" w:rsidRPr="00CF4C4E" w:rsidRDefault="0082149B" w:rsidP="00CF4C4E">
            <w:pPr>
              <w:rPr>
                <w:lang w:val="en-GB"/>
              </w:rPr>
            </w:pPr>
            <w:r w:rsidRPr="00CF4C4E">
              <w:rPr>
                <w:lang w:val="en-GB"/>
              </w:rPr>
              <w:t>NHIF</w:t>
            </w:r>
          </w:p>
        </w:tc>
        <w:tc>
          <w:tcPr>
            <w:tcW w:w="7483" w:type="dxa"/>
          </w:tcPr>
          <w:p w:rsidR="0082149B" w:rsidRPr="00CF4C4E" w:rsidRDefault="0082149B" w:rsidP="00CF4C4E">
            <w:pPr>
              <w:rPr>
                <w:lang w:val="en-GB"/>
              </w:rPr>
            </w:pPr>
            <w:r w:rsidRPr="00CF4C4E">
              <w:rPr>
                <w:lang w:val="en-GB"/>
              </w:rPr>
              <w:t>National Health Insurance Fund</w:t>
            </w:r>
          </w:p>
        </w:tc>
      </w:tr>
      <w:tr w:rsidR="0082149B" w:rsidRPr="00CF4C4E" w:rsidTr="00CB13E8">
        <w:tc>
          <w:tcPr>
            <w:tcW w:w="2093" w:type="dxa"/>
          </w:tcPr>
          <w:p w:rsidR="0082149B" w:rsidRPr="00CF4C4E" w:rsidRDefault="0082149B" w:rsidP="00CF4C4E">
            <w:pPr>
              <w:rPr>
                <w:lang w:val="en-GB"/>
              </w:rPr>
            </w:pPr>
            <w:r w:rsidRPr="00CF4C4E">
              <w:rPr>
                <w:lang w:val="en-GB"/>
              </w:rPr>
              <w:t>NPDIF</w:t>
            </w:r>
          </w:p>
        </w:tc>
        <w:tc>
          <w:tcPr>
            <w:tcW w:w="7483" w:type="dxa"/>
          </w:tcPr>
          <w:p w:rsidR="0082149B" w:rsidRPr="00CF4C4E" w:rsidRDefault="0082149B" w:rsidP="00CF4C4E">
            <w:pPr>
              <w:rPr>
                <w:lang w:val="en-GB"/>
              </w:rPr>
            </w:pPr>
            <w:r w:rsidRPr="00CF4C4E">
              <w:rPr>
                <w:lang w:val="en-GB"/>
              </w:rPr>
              <w:t>National Pension and Disability Insurance Fund</w:t>
            </w:r>
          </w:p>
        </w:tc>
      </w:tr>
      <w:tr w:rsidR="0082149B" w:rsidRPr="00CF4C4E" w:rsidTr="00CB13E8">
        <w:tc>
          <w:tcPr>
            <w:tcW w:w="2093" w:type="dxa"/>
          </w:tcPr>
          <w:p w:rsidR="0082149B" w:rsidRPr="00CF4C4E" w:rsidRDefault="0082149B" w:rsidP="00CF4C4E">
            <w:pPr>
              <w:rPr>
                <w:lang w:val="en-GB"/>
              </w:rPr>
            </w:pPr>
            <w:r w:rsidRPr="00CF4C4E">
              <w:rPr>
                <w:lang w:val="en-GB"/>
              </w:rPr>
              <w:t>POOC</w:t>
            </w:r>
          </w:p>
        </w:tc>
        <w:tc>
          <w:tcPr>
            <w:tcW w:w="7483" w:type="dxa"/>
          </w:tcPr>
          <w:p w:rsidR="0082149B" w:rsidRPr="00CF4C4E" w:rsidRDefault="0082149B" w:rsidP="00CF4C4E">
            <w:pPr>
              <w:rPr>
                <w:lang w:val="en-GB"/>
              </w:rPr>
            </w:pPr>
            <w:r w:rsidRPr="00CF4C4E">
              <w:rPr>
                <w:lang w:val="en-GB"/>
              </w:rPr>
              <w:t>Prosecutor’s Office for Organised Crime</w:t>
            </w:r>
          </w:p>
        </w:tc>
      </w:tr>
      <w:tr w:rsidR="0082149B" w:rsidRPr="00CF4C4E" w:rsidTr="00CB13E8">
        <w:tc>
          <w:tcPr>
            <w:tcW w:w="2093" w:type="dxa"/>
          </w:tcPr>
          <w:p w:rsidR="0082149B" w:rsidRPr="00CF4C4E" w:rsidRDefault="0082149B" w:rsidP="00CF4C4E">
            <w:pPr>
              <w:rPr>
                <w:lang w:val="en-GB"/>
              </w:rPr>
            </w:pPr>
            <w:r w:rsidRPr="00CF4C4E">
              <w:rPr>
                <w:lang w:val="en-GB"/>
              </w:rPr>
              <w:t>BPD</w:t>
            </w:r>
          </w:p>
        </w:tc>
        <w:tc>
          <w:tcPr>
            <w:tcW w:w="7483" w:type="dxa"/>
          </w:tcPr>
          <w:p w:rsidR="0082149B" w:rsidRPr="00CF4C4E" w:rsidRDefault="0082149B" w:rsidP="00CF4C4E">
            <w:pPr>
              <w:rPr>
                <w:lang w:val="en-GB"/>
              </w:rPr>
            </w:pPr>
            <w:r w:rsidRPr="00CF4C4E">
              <w:rPr>
                <w:lang w:val="en-GB"/>
              </w:rPr>
              <w:t>Border Police Directorate</w:t>
            </w:r>
          </w:p>
        </w:tc>
      </w:tr>
      <w:tr w:rsidR="0082149B" w:rsidRPr="00CF4C4E" w:rsidTr="00CB13E8">
        <w:tc>
          <w:tcPr>
            <w:tcW w:w="2093" w:type="dxa"/>
          </w:tcPr>
          <w:p w:rsidR="0082149B" w:rsidRPr="00CF4C4E" w:rsidRDefault="0082149B" w:rsidP="00CF4C4E">
            <w:pPr>
              <w:rPr>
                <w:lang w:val="en-GB"/>
              </w:rPr>
            </w:pPr>
            <w:r w:rsidRPr="00CF4C4E">
              <w:rPr>
                <w:lang w:val="en-GB"/>
              </w:rPr>
              <w:t>GCHA</w:t>
            </w:r>
          </w:p>
        </w:tc>
        <w:tc>
          <w:tcPr>
            <w:tcW w:w="7483" w:type="dxa"/>
          </w:tcPr>
          <w:p w:rsidR="0082149B" w:rsidRPr="00CF4C4E" w:rsidRDefault="0082149B" w:rsidP="00CF4C4E">
            <w:pPr>
              <w:rPr>
                <w:lang w:val="en-GB"/>
              </w:rPr>
            </w:pPr>
            <w:r w:rsidRPr="00CF4C4E">
              <w:rPr>
                <w:lang w:val="en-GB"/>
              </w:rPr>
              <w:t>Games of Chance Administration</w:t>
            </w:r>
          </w:p>
        </w:tc>
      </w:tr>
      <w:tr w:rsidR="0082149B" w:rsidRPr="00CF4C4E" w:rsidTr="00CB13E8">
        <w:tc>
          <w:tcPr>
            <w:tcW w:w="2093" w:type="dxa"/>
          </w:tcPr>
          <w:p w:rsidR="0082149B" w:rsidRPr="00CF4C4E" w:rsidRDefault="0082149B" w:rsidP="00CF4C4E">
            <w:pPr>
              <w:rPr>
                <w:lang w:val="en-GB"/>
              </w:rPr>
            </w:pPr>
            <w:r w:rsidRPr="00CF4C4E">
              <w:rPr>
                <w:lang w:val="en-GB"/>
              </w:rPr>
              <w:t>PPA</w:t>
            </w:r>
          </w:p>
        </w:tc>
        <w:tc>
          <w:tcPr>
            <w:tcW w:w="7483" w:type="dxa"/>
          </w:tcPr>
          <w:p w:rsidR="0082149B" w:rsidRPr="00CF4C4E" w:rsidRDefault="0082149B" w:rsidP="00CF4C4E">
            <w:pPr>
              <w:rPr>
                <w:lang w:val="en-GB"/>
              </w:rPr>
            </w:pPr>
            <w:r w:rsidRPr="00CF4C4E">
              <w:rPr>
                <w:lang w:val="en-GB"/>
              </w:rPr>
              <w:t>Public Procurement Administration</w:t>
            </w:r>
          </w:p>
        </w:tc>
      </w:tr>
      <w:tr w:rsidR="0082149B" w:rsidRPr="00CF4C4E" w:rsidTr="00CB13E8">
        <w:tc>
          <w:tcPr>
            <w:tcW w:w="2093" w:type="dxa"/>
          </w:tcPr>
          <w:p w:rsidR="0082149B" w:rsidRPr="00CF4C4E" w:rsidRDefault="0082149B" w:rsidP="00CF4C4E">
            <w:pPr>
              <w:rPr>
                <w:lang w:val="en-GB"/>
              </w:rPr>
            </w:pPr>
            <w:r w:rsidRPr="00CF4C4E">
              <w:rPr>
                <w:lang w:val="en-GB"/>
              </w:rPr>
              <w:t>APML</w:t>
            </w:r>
          </w:p>
        </w:tc>
        <w:tc>
          <w:tcPr>
            <w:tcW w:w="7483" w:type="dxa"/>
          </w:tcPr>
          <w:p w:rsidR="0082149B" w:rsidRPr="00CF4C4E" w:rsidRDefault="0082149B" w:rsidP="00CF4C4E">
            <w:pPr>
              <w:rPr>
                <w:lang w:val="en-GB"/>
              </w:rPr>
            </w:pPr>
            <w:r w:rsidRPr="00CF4C4E">
              <w:rPr>
                <w:lang w:val="en-GB"/>
              </w:rPr>
              <w:t>Administration for the Prevention of Money Laundering</w:t>
            </w:r>
          </w:p>
        </w:tc>
      </w:tr>
      <w:tr w:rsidR="0082149B" w:rsidRPr="00CF4C4E" w:rsidTr="00CB13E8">
        <w:tc>
          <w:tcPr>
            <w:tcW w:w="2093" w:type="dxa"/>
          </w:tcPr>
          <w:p w:rsidR="0082149B" w:rsidRPr="00CF4C4E" w:rsidRDefault="0082149B" w:rsidP="00CF4C4E">
            <w:pPr>
              <w:rPr>
                <w:lang w:val="en-GB"/>
              </w:rPr>
            </w:pPr>
            <w:r w:rsidRPr="00CF4C4E">
              <w:rPr>
                <w:lang w:val="en-GB"/>
              </w:rPr>
              <w:t>MoF-CA</w:t>
            </w:r>
          </w:p>
        </w:tc>
        <w:tc>
          <w:tcPr>
            <w:tcW w:w="7483" w:type="dxa"/>
          </w:tcPr>
          <w:p w:rsidR="0082149B" w:rsidRPr="00CF4C4E" w:rsidRDefault="0082149B" w:rsidP="00CF4C4E">
            <w:pPr>
              <w:rPr>
                <w:lang w:val="en-GB"/>
              </w:rPr>
            </w:pPr>
            <w:r w:rsidRPr="00CF4C4E">
              <w:rPr>
                <w:lang w:val="en-GB"/>
              </w:rPr>
              <w:t>Customs Administration</w:t>
            </w:r>
          </w:p>
        </w:tc>
      </w:tr>
      <w:tr w:rsidR="0082149B" w:rsidRPr="00CF4C4E" w:rsidTr="00CB13E8">
        <w:tc>
          <w:tcPr>
            <w:tcW w:w="2093" w:type="dxa"/>
          </w:tcPr>
          <w:p w:rsidR="0082149B" w:rsidRPr="00CF4C4E" w:rsidRDefault="0082149B" w:rsidP="00CF4C4E">
            <w:pPr>
              <w:rPr>
                <w:lang w:val="en-GB"/>
              </w:rPr>
            </w:pPr>
            <w:r w:rsidRPr="00CF4C4E">
              <w:rPr>
                <w:lang w:val="en-GB"/>
              </w:rPr>
              <w:t>CSD</w:t>
            </w:r>
          </w:p>
        </w:tc>
        <w:tc>
          <w:tcPr>
            <w:tcW w:w="7483" w:type="dxa"/>
          </w:tcPr>
          <w:p w:rsidR="0082149B" w:rsidRPr="00CF4C4E" w:rsidRDefault="0082149B" w:rsidP="00CF4C4E">
            <w:pPr>
              <w:rPr>
                <w:lang w:val="en-GB"/>
              </w:rPr>
            </w:pPr>
            <w:r w:rsidRPr="00CF4C4E">
              <w:rPr>
                <w:lang w:val="en-GB"/>
              </w:rPr>
              <w:t>Central Securities Depository and Clearing House (CSD)</w:t>
            </w:r>
          </w:p>
        </w:tc>
      </w:tr>
    </w:tbl>
    <w:p w:rsidR="00F43ECD" w:rsidRPr="00CF4C4E" w:rsidRDefault="00F43ECD" w:rsidP="00CF4C4E">
      <w:pPr>
        <w:rPr>
          <w:sz w:val="20"/>
          <w:szCs w:val="20"/>
          <w:lang w:val="en-GB"/>
        </w:rPr>
      </w:pPr>
    </w:p>
    <w:sectPr w:rsidR="00F43ECD" w:rsidRPr="00CF4C4E" w:rsidSect="00CF4C4E">
      <w:pgSz w:w="11907" w:h="16839"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EF4" w:rsidRDefault="000B0EF4" w:rsidP="00713A91">
      <w:r>
        <w:separator/>
      </w:r>
    </w:p>
  </w:endnote>
  <w:endnote w:type="continuationSeparator" w:id="0">
    <w:p w:rsidR="000B0EF4" w:rsidRDefault="000B0EF4" w:rsidP="00713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egoe UI" w:hAnsi="Segoe UI" w:cs="Segoe UI"/>
        <w:color w:val="auto"/>
        <w:sz w:val="21"/>
        <w:szCs w:val="21"/>
      </w:rPr>
      <w:id w:val="18746953"/>
      <w:docPartObj>
        <w:docPartGallery w:val="Page Numbers (Bottom of Page)"/>
        <w:docPartUnique/>
      </w:docPartObj>
    </w:sdtPr>
    <w:sdtContent>
      <w:p w:rsidR="00CF4C4E" w:rsidRPr="000B0BBF" w:rsidRDefault="00FF4296">
        <w:pPr>
          <w:pStyle w:val="Footer"/>
          <w:jc w:val="right"/>
          <w:rPr>
            <w:rFonts w:ascii="Segoe UI" w:hAnsi="Segoe UI" w:cs="Segoe UI"/>
            <w:sz w:val="21"/>
            <w:szCs w:val="21"/>
          </w:rPr>
        </w:pPr>
        <w:r>
          <w:rPr>
            <w:rFonts w:ascii="Segoe UI" w:hAnsi="Segoe UI" w:cs="Segoe UI"/>
            <w:sz w:val="21"/>
            <w:szCs w:val="21"/>
          </w:rPr>
          <w:fldChar w:fldCharType="begin"/>
        </w:r>
        <w:r w:rsidR="00CF4C4E">
          <w:rPr>
            <w:rFonts w:ascii="Segoe UI" w:hAnsi="Segoe UI" w:cs="Segoe UI"/>
            <w:sz w:val="21"/>
            <w:szCs w:val="21"/>
          </w:rPr>
          <w:instrText xml:space="preserve"> PAGE   \* MERGEFORMAT </w:instrText>
        </w:r>
        <w:r>
          <w:rPr>
            <w:rFonts w:ascii="Segoe UI" w:hAnsi="Segoe UI" w:cs="Segoe UI"/>
            <w:sz w:val="21"/>
            <w:szCs w:val="21"/>
          </w:rPr>
          <w:fldChar w:fldCharType="separate"/>
        </w:r>
        <w:r w:rsidR="00612ABA">
          <w:rPr>
            <w:rFonts w:ascii="Segoe UI" w:hAnsi="Segoe UI" w:cs="Segoe UI"/>
            <w:noProof/>
            <w:sz w:val="21"/>
            <w:szCs w:val="21"/>
          </w:rPr>
          <w:t>38</w:t>
        </w:r>
        <w:r>
          <w:rPr>
            <w:rFonts w:ascii="Segoe UI" w:hAnsi="Segoe UI" w:cs="Segoe UI"/>
            <w:sz w:val="21"/>
            <w:szCs w:val="21"/>
          </w:rPr>
          <w:fldChar w:fldCharType="end"/>
        </w:r>
      </w:p>
    </w:sdtContent>
  </w:sdt>
  <w:p w:rsidR="00CF4C4E" w:rsidRPr="000B0BBF" w:rsidRDefault="00CF4C4E">
    <w:pPr>
      <w:pStyle w:val="Footer"/>
      <w:rPr>
        <w:rFonts w:ascii="Segoe UI" w:hAnsi="Segoe UI" w:cs="Segoe UI"/>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EF4" w:rsidRDefault="000B0EF4" w:rsidP="00713A91">
      <w:r>
        <w:separator/>
      </w:r>
    </w:p>
  </w:footnote>
  <w:footnote w:type="continuationSeparator" w:id="0">
    <w:p w:rsidR="000B0EF4" w:rsidRDefault="000B0EF4" w:rsidP="00713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4E" w:rsidRPr="00A47261" w:rsidRDefault="00CF4C4E" w:rsidP="00A47261">
    <w:pPr>
      <w:pStyle w:val="Header"/>
      <w:jc w:val="right"/>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F88"/>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FF0A61"/>
    <w:multiLevelType w:val="hybridMultilevel"/>
    <w:tmpl w:val="2B220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43ED3"/>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91773E"/>
    <w:multiLevelType w:val="hybridMultilevel"/>
    <w:tmpl w:val="EE82A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051A60"/>
    <w:multiLevelType w:val="hybridMultilevel"/>
    <w:tmpl w:val="2392F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7720A"/>
    <w:multiLevelType w:val="hybridMultilevel"/>
    <w:tmpl w:val="592A3A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E95A98"/>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AC10FE"/>
    <w:multiLevelType w:val="hybridMultilevel"/>
    <w:tmpl w:val="42D6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92AB6"/>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ED7A87"/>
    <w:multiLevelType w:val="hybridMultilevel"/>
    <w:tmpl w:val="8F089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A7917"/>
    <w:multiLevelType w:val="hybridMultilevel"/>
    <w:tmpl w:val="42563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62134"/>
    <w:multiLevelType w:val="hybridMultilevel"/>
    <w:tmpl w:val="01160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01087"/>
    <w:multiLevelType w:val="hybridMultilevel"/>
    <w:tmpl w:val="46BC1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95C3B"/>
    <w:multiLevelType w:val="hybridMultilevel"/>
    <w:tmpl w:val="1316A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225B0"/>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B77398"/>
    <w:multiLevelType w:val="hybridMultilevel"/>
    <w:tmpl w:val="891E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375828"/>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930E71"/>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155046"/>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1C4ADB"/>
    <w:multiLevelType w:val="hybridMultilevel"/>
    <w:tmpl w:val="A782AF7C"/>
    <w:lvl w:ilvl="0" w:tplc="DB7CB438">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4A329B"/>
    <w:multiLevelType w:val="hybridMultilevel"/>
    <w:tmpl w:val="6352D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53143"/>
    <w:multiLevelType w:val="hybridMultilevel"/>
    <w:tmpl w:val="E8F6EA5E"/>
    <w:lvl w:ilvl="0" w:tplc="BA26FA8E">
      <w:start w:val="1"/>
      <w:numFmt w:val="decimal"/>
      <w:lvlText w:val="%1."/>
      <w:lvlJc w:val="lef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11C5F"/>
    <w:multiLevelType w:val="hybridMultilevel"/>
    <w:tmpl w:val="1B6C4A02"/>
    <w:lvl w:ilvl="0" w:tplc="5B564EE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1304A17"/>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F66A1F"/>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3F34CF"/>
    <w:multiLevelType w:val="hybridMultilevel"/>
    <w:tmpl w:val="55588364"/>
    <w:lvl w:ilvl="0" w:tplc="F50A1E10">
      <w:start w:val="1"/>
      <w:numFmt w:val="decimal"/>
      <w:lvlText w:val="%1."/>
      <w:lvlJc w:val="left"/>
      <w:pPr>
        <w:ind w:left="720" w:hanging="360"/>
      </w:pPr>
      <w:rPr>
        <w:b/>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943CD7"/>
    <w:multiLevelType w:val="hybridMultilevel"/>
    <w:tmpl w:val="709C8B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EF7DB6"/>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C97678"/>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6D0999"/>
    <w:multiLevelType w:val="hybridMultilevel"/>
    <w:tmpl w:val="C98EC0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FF42DF4"/>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E91666"/>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7"/>
  </w:num>
  <w:num w:numId="4">
    <w:abstractNumId w:val="4"/>
  </w:num>
  <w:num w:numId="5">
    <w:abstractNumId w:val="1"/>
  </w:num>
  <w:num w:numId="6">
    <w:abstractNumId w:val="12"/>
  </w:num>
  <w:num w:numId="7">
    <w:abstractNumId w:val="15"/>
  </w:num>
  <w:num w:numId="8">
    <w:abstractNumId w:val="23"/>
  </w:num>
  <w:num w:numId="9">
    <w:abstractNumId w:val="21"/>
  </w:num>
  <w:num w:numId="10">
    <w:abstractNumId w:val="19"/>
  </w:num>
  <w:num w:numId="11">
    <w:abstractNumId w:val="2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26"/>
  </w:num>
  <w:num w:numId="16">
    <w:abstractNumId w:val="3"/>
  </w:num>
  <w:num w:numId="17">
    <w:abstractNumId w:val="29"/>
  </w:num>
  <w:num w:numId="18">
    <w:abstractNumId w:val="31"/>
  </w:num>
  <w:num w:numId="19">
    <w:abstractNumId w:val="17"/>
  </w:num>
  <w:num w:numId="20">
    <w:abstractNumId w:val="27"/>
  </w:num>
  <w:num w:numId="21">
    <w:abstractNumId w:val="14"/>
  </w:num>
  <w:num w:numId="22">
    <w:abstractNumId w:val="16"/>
  </w:num>
  <w:num w:numId="23">
    <w:abstractNumId w:val="24"/>
  </w:num>
  <w:num w:numId="24">
    <w:abstractNumId w:val="13"/>
  </w:num>
  <w:num w:numId="25">
    <w:abstractNumId w:val="10"/>
  </w:num>
  <w:num w:numId="26">
    <w:abstractNumId w:val="9"/>
  </w:num>
  <w:num w:numId="27">
    <w:abstractNumId w:val="18"/>
  </w:num>
  <w:num w:numId="28">
    <w:abstractNumId w:val="6"/>
  </w:num>
  <w:num w:numId="29">
    <w:abstractNumId w:val="8"/>
  </w:num>
  <w:num w:numId="30">
    <w:abstractNumId w:val="28"/>
  </w:num>
  <w:num w:numId="31">
    <w:abstractNumId w:val="0"/>
  </w:num>
  <w:num w:numId="32">
    <w:abstractNumId w:val="3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hideSpelling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13A91"/>
    <w:rsid w:val="0000003B"/>
    <w:rsid w:val="0001093D"/>
    <w:rsid w:val="00015C01"/>
    <w:rsid w:val="000229FA"/>
    <w:rsid w:val="000259B3"/>
    <w:rsid w:val="000269C8"/>
    <w:rsid w:val="00032563"/>
    <w:rsid w:val="000342B2"/>
    <w:rsid w:val="0003799E"/>
    <w:rsid w:val="00037BF6"/>
    <w:rsid w:val="00040297"/>
    <w:rsid w:val="000435FD"/>
    <w:rsid w:val="0004492D"/>
    <w:rsid w:val="0004546C"/>
    <w:rsid w:val="000474AA"/>
    <w:rsid w:val="00050AB0"/>
    <w:rsid w:val="00050E7F"/>
    <w:rsid w:val="00051416"/>
    <w:rsid w:val="00054ACF"/>
    <w:rsid w:val="00054E20"/>
    <w:rsid w:val="000553F1"/>
    <w:rsid w:val="00056AE0"/>
    <w:rsid w:val="00063345"/>
    <w:rsid w:val="00065149"/>
    <w:rsid w:val="000656E7"/>
    <w:rsid w:val="000674FF"/>
    <w:rsid w:val="000703A9"/>
    <w:rsid w:val="00073345"/>
    <w:rsid w:val="00074050"/>
    <w:rsid w:val="00074670"/>
    <w:rsid w:val="00077619"/>
    <w:rsid w:val="00081B8D"/>
    <w:rsid w:val="00083ED0"/>
    <w:rsid w:val="000860BE"/>
    <w:rsid w:val="00090975"/>
    <w:rsid w:val="0009405E"/>
    <w:rsid w:val="000A3B0D"/>
    <w:rsid w:val="000A59A7"/>
    <w:rsid w:val="000A7CC4"/>
    <w:rsid w:val="000B0100"/>
    <w:rsid w:val="000B0BBF"/>
    <w:rsid w:val="000B0EF4"/>
    <w:rsid w:val="000B3C2A"/>
    <w:rsid w:val="000B5F1D"/>
    <w:rsid w:val="000B75F7"/>
    <w:rsid w:val="000C1D77"/>
    <w:rsid w:val="000C4208"/>
    <w:rsid w:val="000C6EB5"/>
    <w:rsid w:val="000C7714"/>
    <w:rsid w:val="000D08A9"/>
    <w:rsid w:val="000D1143"/>
    <w:rsid w:val="000D1319"/>
    <w:rsid w:val="000D4757"/>
    <w:rsid w:val="000E3771"/>
    <w:rsid w:val="000E3FF6"/>
    <w:rsid w:val="000E7324"/>
    <w:rsid w:val="000F0BD0"/>
    <w:rsid w:val="00102718"/>
    <w:rsid w:val="00102ECF"/>
    <w:rsid w:val="001043A5"/>
    <w:rsid w:val="00104CDD"/>
    <w:rsid w:val="001204FF"/>
    <w:rsid w:val="001210BE"/>
    <w:rsid w:val="00121212"/>
    <w:rsid w:val="00123637"/>
    <w:rsid w:val="00123675"/>
    <w:rsid w:val="001254C3"/>
    <w:rsid w:val="00131ED0"/>
    <w:rsid w:val="00133CB5"/>
    <w:rsid w:val="0013548D"/>
    <w:rsid w:val="00142EDC"/>
    <w:rsid w:val="00143AC7"/>
    <w:rsid w:val="00144CCE"/>
    <w:rsid w:val="00146E18"/>
    <w:rsid w:val="0015383E"/>
    <w:rsid w:val="00154FDD"/>
    <w:rsid w:val="00156124"/>
    <w:rsid w:val="00156D4E"/>
    <w:rsid w:val="00161230"/>
    <w:rsid w:val="001626DC"/>
    <w:rsid w:val="00163505"/>
    <w:rsid w:val="00165CB9"/>
    <w:rsid w:val="00170910"/>
    <w:rsid w:val="00173AE0"/>
    <w:rsid w:val="001812E7"/>
    <w:rsid w:val="001821C4"/>
    <w:rsid w:val="00182940"/>
    <w:rsid w:val="00184E9E"/>
    <w:rsid w:val="00185FE6"/>
    <w:rsid w:val="00191E3F"/>
    <w:rsid w:val="001A0C43"/>
    <w:rsid w:val="001A18C8"/>
    <w:rsid w:val="001A3C52"/>
    <w:rsid w:val="001A47C0"/>
    <w:rsid w:val="001A4D2F"/>
    <w:rsid w:val="001A655F"/>
    <w:rsid w:val="001B2108"/>
    <w:rsid w:val="001B2820"/>
    <w:rsid w:val="001B2E39"/>
    <w:rsid w:val="001B379F"/>
    <w:rsid w:val="001B4CBD"/>
    <w:rsid w:val="001B60B1"/>
    <w:rsid w:val="001B65B2"/>
    <w:rsid w:val="001C28EC"/>
    <w:rsid w:val="001C4A4F"/>
    <w:rsid w:val="001E4E03"/>
    <w:rsid w:val="001E542B"/>
    <w:rsid w:val="001E55D5"/>
    <w:rsid w:val="001E5DFF"/>
    <w:rsid w:val="001F1495"/>
    <w:rsid w:val="001F15C3"/>
    <w:rsid w:val="001F2C4B"/>
    <w:rsid w:val="002052A3"/>
    <w:rsid w:val="0020533F"/>
    <w:rsid w:val="0020631B"/>
    <w:rsid w:val="00206857"/>
    <w:rsid w:val="002074F1"/>
    <w:rsid w:val="00210A55"/>
    <w:rsid w:val="002145B3"/>
    <w:rsid w:val="00215665"/>
    <w:rsid w:val="0021585E"/>
    <w:rsid w:val="002219B5"/>
    <w:rsid w:val="0022234E"/>
    <w:rsid w:val="002247A8"/>
    <w:rsid w:val="00224C1E"/>
    <w:rsid w:val="00232650"/>
    <w:rsid w:val="002374BA"/>
    <w:rsid w:val="002424EB"/>
    <w:rsid w:val="00245ED1"/>
    <w:rsid w:val="00250537"/>
    <w:rsid w:val="00250708"/>
    <w:rsid w:val="00254C7E"/>
    <w:rsid w:val="0025513A"/>
    <w:rsid w:val="002632C2"/>
    <w:rsid w:val="00263780"/>
    <w:rsid w:val="00263A5E"/>
    <w:rsid w:val="0026686C"/>
    <w:rsid w:val="00267777"/>
    <w:rsid w:val="002702AB"/>
    <w:rsid w:val="00271782"/>
    <w:rsid w:val="00273598"/>
    <w:rsid w:val="00274562"/>
    <w:rsid w:val="00281A15"/>
    <w:rsid w:val="00283830"/>
    <w:rsid w:val="00283DD5"/>
    <w:rsid w:val="00284C51"/>
    <w:rsid w:val="00285FD7"/>
    <w:rsid w:val="00286710"/>
    <w:rsid w:val="00291FF2"/>
    <w:rsid w:val="002922B5"/>
    <w:rsid w:val="00294720"/>
    <w:rsid w:val="002A3F75"/>
    <w:rsid w:val="002A4CC7"/>
    <w:rsid w:val="002B23AB"/>
    <w:rsid w:val="002B6D6A"/>
    <w:rsid w:val="002B7AB2"/>
    <w:rsid w:val="002B7E1A"/>
    <w:rsid w:val="002C15B7"/>
    <w:rsid w:val="002C54BD"/>
    <w:rsid w:val="002D1889"/>
    <w:rsid w:val="002D3052"/>
    <w:rsid w:val="002D69E2"/>
    <w:rsid w:val="002E071E"/>
    <w:rsid w:val="002E2CAF"/>
    <w:rsid w:val="002E5077"/>
    <w:rsid w:val="002E5CC8"/>
    <w:rsid w:val="002F1FEA"/>
    <w:rsid w:val="002F2585"/>
    <w:rsid w:val="002F2CC6"/>
    <w:rsid w:val="003030E6"/>
    <w:rsid w:val="003041BF"/>
    <w:rsid w:val="003069B2"/>
    <w:rsid w:val="003162F4"/>
    <w:rsid w:val="00320748"/>
    <w:rsid w:val="00320EA9"/>
    <w:rsid w:val="003214BC"/>
    <w:rsid w:val="00321E8D"/>
    <w:rsid w:val="00323486"/>
    <w:rsid w:val="00323A5A"/>
    <w:rsid w:val="00326C84"/>
    <w:rsid w:val="00326CC2"/>
    <w:rsid w:val="00326EA5"/>
    <w:rsid w:val="00327445"/>
    <w:rsid w:val="0034189E"/>
    <w:rsid w:val="00343DEC"/>
    <w:rsid w:val="00345049"/>
    <w:rsid w:val="003478F8"/>
    <w:rsid w:val="00350767"/>
    <w:rsid w:val="00350AF3"/>
    <w:rsid w:val="003562B4"/>
    <w:rsid w:val="0036171D"/>
    <w:rsid w:val="00363221"/>
    <w:rsid w:val="00363ED5"/>
    <w:rsid w:val="00366074"/>
    <w:rsid w:val="00367ABB"/>
    <w:rsid w:val="00367ADF"/>
    <w:rsid w:val="00375E65"/>
    <w:rsid w:val="003909EA"/>
    <w:rsid w:val="00395DA3"/>
    <w:rsid w:val="0039640D"/>
    <w:rsid w:val="003A159C"/>
    <w:rsid w:val="003A2212"/>
    <w:rsid w:val="003A6CA2"/>
    <w:rsid w:val="003B30BF"/>
    <w:rsid w:val="003B399A"/>
    <w:rsid w:val="003B3C7C"/>
    <w:rsid w:val="003C012B"/>
    <w:rsid w:val="003C0BAA"/>
    <w:rsid w:val="003C0D99"/>
    <w:rsid w:val="003C2A92"/>
    <w:rsid w:val="003C48F1"/>
    <w:rsid w:val="003E418C"/>
    <w:rsid w:val="003E6F29"/>
    <w:rsid w:val="003F3E12"/>
    <w:rsid w:val="003F46B0"/>
    <w:rsid w:val="003F4F08"/>
    <w:rsid w:val="003F6B18"/>
    <w:rsid w:val="003F6C47"/>
    <w:rsid w:val="004052BA"/>
    <w:rsid w:val="004079BC"/>
    <w:rsid w:val="0041026F"/>
    <w:rsid w:val="0041235D"/>
    <w:rsid w:val="00421291"/>
    <w:rsid w:val="004232FE"/>
    <w:rsid w:val="00423F6C"/>
    <w:rsid w:val="00424469"/>
    <w:rsid w:val="00424D8F"/>
    <w:rsid w:val="00424DC6"/>
    <w:rsid w:val="00425B43"/>
    <w:rsid w:val="004316AD"/>
    <w:rsid w:val="004318D2"/>
    <w:rsid w:val="00432822"/>
    <w:rsid w:val="00434EDC"/>
    <w:rsid w:val="004420AE"/>
    <w:rsid w:val="00442D60"/>
    <w:rsid w:val="004446B4"/>
    <w:rsid w:val="0044603F"/>
    <w:rsid w:val="00447807"/>
    <w:rsid w:val="00450A86"/>
    <w:rsid w:val="00451BF1"/>
    <w:rsid w:val="00463E7C"/>
    <w:rsid w:val="00464869"/>
    <w:rsid w:val="00465BE6"/>
    <w:rsid w:val="00467761"/>
    <w:rsid w:val="004747BD"/>
    <w:rsid w:val="004769B3"/>
    <w:rsid w:val="00476D5F"/>
    <w:rsid w:val="00481539"/>
    <w:rsid w:val="00481586"/>
    <w:rsid w:val="004819C9"/>
    <w:rsid w:val="00487258"/>
    <w:rsid w:val="00492C3B"/>
    <w:rsid w:val="00493915"/>
    <w:rsid w:val="004965C9"/>
    <w:rsid w:val="00497818"/>
    <w:rsid w:val="00497A27"/>
    <w:rsid w:val="004A1E65"/>
    <w:rsid w:val="004B4172"/>
    <w:rsid w:val="004B7C54"/>
    <w:rsid w:val="004C04D7"/>
    <w:rsid w:val="004C44F2"/>
    <w:rsid w:val="004C54B0"/>
    <w:rsid w:val="004C76C3"/>
    <w:rsid w:val="004D0E60"/>
    <w:rsid w:val="004D6269"/>
    <w:rsid w:val="004E07FF"/>
    <w:rsid w:val="004E180B"/>
    <w:rsid w:val="004E3E05"/>
    <w:rsid w:val="004E570C"/>
    <w:rsid w:val="004E74BC"/>
    <w:rsid w:val="004F598D"/>
    <w:rsid w:val="004F5B8A"/>
    <w:rsid w:val="005068C3"/>
    <w:rsid w:val="00514CA1"/>
    <w:rsid w:val="00520B00"/>
    <w:rsid w:val="00520B58"/>
    <w:rsid w:val="0052577D"/>
    <w:rsid w:val="00526A7A"/>
    <w:rsid w:val="00530C7B"/>
    <w:rsid w:val="0053445B"/>
    <w:rsid w:val="00536DA8"/>
    <w:rsid w:val="005414D3"/>
    <w:rsid w:val="0054380B"/>
    <w:rsid w:val="00552016"/>
    <w:rsid w:val="00552A56"/>
    <w:rsid w:val="0055614B"/>
    <w:rsid w:val="00557B42"/>
    <w:rsid w:val="00566361"/>
    <w:rsid w:val="00575AF4"/>
    <w:rsid w:val="005768D4"/>
    <w:rsid w:val="00577F78"/>
    <w:rsid w:val="00583368"/>
    <w:rsid w:val="00583FE2"/>
    <w:rsid w:val="005877A4"/>
    <w:rsid w:val="00587FE4"/>
    <w:rsid w:val="00597E67"/>
    <w:rsid w:val="005A3EEE"/>
    <w:rsid w:val="005A41CB"/>
    <w:rsid w:val="005A6DC3"/>
    <w:rsid w:val="005B03E9"/>
    <w:rsid w:val="005B10C2"/>
    <w:rsid w:val="005B2E2B"/>
    <w:rsid w:val="005B69D9"/>
    <w:rsid w:val="005C0132"/>
    <w:rsid w:val="005C3BBE"/>
    <w:rsid w:val="005C5918"/>
    <w:rsid w:val="005C5D8A"/>
    <w:rsid w:val="005C69BF"/>
    <w:rsid w:val="005C71AC"/>
    <w:rsid w:val="005C7708"/>
    <w:rsid w:val="005D036E"/>
    <w:rsid w:val="005F240E"/>
    <w:rsid w:val="005F2A88"/>
    <w:rsid w:val="005F5F31"/>
    <w:rsid w:val="006014A9"/>
    <w:rsid w:val="0060276A"/>
    <w:rsid w:val="00603DAA"/>
    <w:rsid w:val="0060447A"/>
    <w:rsid w:val="00607374"/>
    <w:rsid w:val="00607B8A"/>
    <w:rsid w:val="00612ABA"/>
    <w:rsid w:val="0061765F"/>
    <w:rsid w:val="006244CE"/>
    <w:rsid w:val="006301B6"/>
    <w:rsid w:val="0063555F"/>
    <w:rsid w:val="006359AA"/>
    <w:rsid w:val="006364A3"/>
    <w:rsid w:val="0064036A"/>
    <w:rsid w:val="00640619"/>
    <w:rsid w:val="0065437A"/>
    <w:rsid w:val="0065536B"/>
    <w:rsid w:val="00657FEB"/>
    <w:rsid w:val="0066049D"/>
    <w:rsid w:val="00660A8C"/>
    <w:rsid w:val="00660ABD"/>
    <w:rsid w:val="00661819"/>
    <w:rsid w:val="006634AE"/>
    <w:rsid w:val="00665BC3"/>
    <w:rsid w:val="00674A9F"/>
    <w:rsid w:val="00674B4D"/>
    <w:rsid w:val="00675F8D"/>
    <w:rsid w:val="00680B5F"/>
    <w:rsid w:val="00685676"/>
    <w:rsid w:val="00692B78"/>
    <w:rsid w:val="0069535B"/>
    <w:rsid w:val="006A53F2"/>
    <w:rsid w:val="006A607F"/>
    <w:rsid w:val="006B25BA"/>
    <w:rsid w:val="006B2D80"/>
    <w:rsid w:val="006B3697"/>
    <w:rsid w:val="006B44FA"/>
    <w:rsid w:val="006B4500"/>
    <w:rsid w:val="006B456A"/>
    <w:rsid w:val="006B6E0B"/>
    <w:rsid w:val="006C15FB"/>
    <w:rsid w:val="006C303F"/>
    <w:rsid w:val="006C3281"/>
    <w:rsid w:val="006C3B76"/>
    <w:rsid w:val="006C4E6E"/>
    <w:rsid w:val="006D03A5"/>
    <w:rsid w:val="006D29C7"/>
    <w:rsid w:val="006D3236"/>
    <w:rsid w:val="006D41ED"/>
    <w:rsid w:val="006D56C2"/>
    <w:rsid w:val="006D5E7E"/>
    <w:rsid w:val="006D74CD"/>
    <w:rsid w:val="006D7E87"/>
    <w:rsid w:val="006E0804"/>
    <w:rsid w:val="006E1576"/>
    <w:rsid w:val="006E272C"/>
    <w:rsid w:val="006E45AC"/>
    <w:rsid w:val="006E580D"/>
    <w:rsid w:val="006F2E9B"/>
    <w:rsid w:val="006F7310"/>
    <w:rsid w:val="006F74D9"/>
    <w:rsid w:val="00704F54"/>
    <w:rsid w:val="00707DEB"/>
    <w:rsid w:val="00707F82"/>
    <w:rsid w:val="0071106E"/>
    <w:rsid w:val="0071229F"/>
    <w:rsid w:val="00713A91"/>
    <w:rsid w:val="00713C9A"/>
    <w:rsid w:val="007169B7"/>
    <w:rsid w:val="00733095"/>
    <w:rsid w:val="00733420"/>
    <w:rsid w:val="00734916"/>
    <w:rsid w:val="007405F7"/>
    <w:rsid w:val="00741126"/>
    <w:rsid w:val="0074155A"/>
    <w:rsid w:val="007450DA"/>
    <w:rsid w:val="00745C54"/>
    <w:rsid w:val="00745F39"/>
    <w:rsid w:val="00746A29"/>
    <w:rsid w:val="007574CB"/>
    <w:rsid w:val="007606A2"/>
    <w:rsid w:val="0076321C"/>
    <w:rsid w:val="00763367"/>
    <w:rsid w:val="0076411F"/>
    <w:rsid w:val="00765B7E"/>
    <w:rsid w:val="00784AA9"/>
    <w:rsid w:val="00787792"/>
    <w:rsid w:val="00791D60"/>
    <w:rsid w:val="00793779"/>
    <w:rsid w:val="007953F0"/>
    <w:rsid w:val="007A1892"/>
    <w:rsid w:val="007A7B74"/>
    <w:rsid w:val="007B0298"/>
    <w:rsid w:val="007B4D25"/>
    <w:rsid w:val="007C3863"/>
    <w:rsid w:val="007D3835"/>
    <w:rsid w:val="007D51C0"/>
    <w:rsid w:val="007D60B3"/>
    <w:rsid w:val="007E03E4"/>
    <w:rsid w:val="007E1D3C"/>
    <w:rsid w:val="007E1EA4"/>
    <w:rsid w:val="007E7244"/>
    <w:rsid w:val="007F1D06"/>
    <w:rsid w:val="007F28BA"/>
    <w:rsid w:val="007F4A50"/>
    <w:rsid w:val="007F5C8D"/>
    <w:rsid w:val="007F70F0"/>
    <w:rsid w:val="007F7F60"/>
    <w:rsid w:val="007F7FA4"/>
    <w:rsid w:val="00800732"/>
    <w:rsid w:val="008040CA"/>
    <w:rsid w:val="0080414E"/>
    <w:rsid w:val="008064E7"/>
    <w:rsid w:val="008066B1"/>
    <w:rsid w:val="00806E9B"/>
    <w:rsid w:val="008152F0"/>
    <w:rsid w:val="00816358"/>
    <w:rsid w:val="008166FB"/>
    <w:rsid w:val="0082149B"/>
    <w:rsid w:val="0082324E"/>
    <w:rsid w:val="008258C2"/>
    <w:rsid w:val="00826675"/>
    <w:rsid w:val="0083281B"/>
    <w:rsid w:val="0083693C"/>
    <w:rsid w:val="0084011D"/>
    <w:rsid w:val="00842C31"/>
    <w:rsid w:val="00842D2B"/>
    <w:rsid w:val="00847FC1"/>
    <w:rsid w:val="00851277"/>
    <w:rsid w:val="008572E7"/>
    <w:rsid w:val="00863117"/>
    <w:rsid w:val="00863A32"/>
    <w:rsid w:val="00863E13"/>
    <w:rsid w:val="00864498"/>
    <w:rsid w:val="00864EB1"/>
    <w:rsid w:val="0086525D"/>
    <w:rsid w:val="008663F2"/>
    <w:rsid w:val="00867224"/>
    <w:rsid w:val="008738FC"/>
    <w:rsid w:val="008739B5"/>
    <w:rsid w:val="00875A03"/>
    <w:rsid w:val="0087616A"/>
    <w:rsid w:val="00876914"/>
    <w:rsid w:val="00877F10"/>
    <w:rsid w:val="0088130C"/>
    <w:rsid w:val="0088138E"/>
    <w:rsid w:val="00883269"/>
    <w:rsid w:val="00885F9C"/>
    <w:rsid w:val="00891636"/>
    <w:rsid w:val="00891EE4"/>
    <w:rsid w:val="008A1074"/>
    <w:rsid w:val="008A184C"/>
    <w:rsid w:val="008A3D46"/>
    <w:rsid w:val="008A65BD"/>
    <w:rsid w:val="008A7033"/>
    <w:rsid w:val="008B4459"/>
    <w:rsid w:val="008C09AC"/>
    <w:rsid w:val="008C111C"/>
    <w:rsid w:val="008C12BC"/>
    <w:rsid w:val="008C4177"/>
    <w:rsid w:val="008D3C16"/>
    <w:rsid w:val="008D6879"/>
    <w:rsid w:val="008D7FBA"/>
    <w:rsid w:val="008E086E"/>
    <w:rsid w:val="008E17F3"/>
    <w:rsid w:val="008E25B5"/>
    <w:rsid w:val="008E4671"/>
    <w:rsid w:val="008F0383"/>
    <w:rsid w:val="008F6CF9"/>
    <w:rsid w:val="00903B60"/>
    <w:rsid w:val="00907B40"/>
    <w:rsid w:val="00910033"/>
    <w:rsid w:val="009255B6"/>
    <w:rsid w:val="00927A2E"/>
    <w:rsid w:val="00931FE5"/>
    <w:rsid w:val="0093316B"/>
    <w:rsid w:val="00944D14"/>
    <w:rsid w:val="00947093"/>
    <w:rsid w:val="009510A6"/>
    <w:rsid w:val="00952081"/>
    <w:rsid w:val="009526CA"/>
    <w:rsid w:val="00955914"/>
    <w:rsid w:val="0096032B"/>
    <w:rsid w:val="00962FA1"/>
    <w:rsid w:val="0096445A"/>
    <w:rsid w:val="0096670D"/>
    <w:rsid w:val="00971204"/>
    <w:rsid w:val="00972C36"/>
    <w:rsid w:val="00974A03"/>
    <w:rsid w:val="00976AD7"/>
    <w:rsid w:val="00981209"/>
    <w:rsid w:val="00985089"/>
    <w:rsid w:val="00986E93"/>
    <w:rsid w:val="00987594"/>
    <w:rsid w:val="00990BEE"/>
    <w:rsid w:val="00990F58"/>
    <w:rsid w:val="0099231E"/>
    <w:rsid w:val="0099638C"/>
    <w:rsid w:val="00996814"/>
    <w:rsid w:val="009A2486"/>
    <w:rsid w:val="009A511C"/>
    <w:rsid w:val="009A5328"/>
    <w:rsid w:val="009A5E51"/>
    <w:rsid w:val="009A5F8C"/>
    <w:rsid w:val="009A6243"/>
    <w:rsid w:val="009A6D0D"/>
    <w:rsid w:val="009A7DDB"/>
    <w:rsid w:val="009B27FA"/>
    <w:rsid w:val="009B3BB9"/>
    <w:rsid w:val="009B424F"/>
    <w:rsid w:val="009B6F9B"/>
    <w:rsid w:val="009C0579"/>
    <w:rsid w:val="009D00C4"/>
    <w:rsid w:val="009D68EE"/>
    <w:rsid w:val="009E02C0"/>
    <w:rsid w:val="009E03A7"/>
    <w:rsid w:val="009E1129"/>
    <w:rsid w:val="00A01D0D"/>
    <w:rsid w:val="00A02FC2"/>
    <w:rsid w:val="00A12AA6"/>
    <w:rsid w:val="00A12C29"/>
    <w:rsid w:val="00A146DB"/>
    <w:rsid w:val="00A1499B"/>
    <w:rsid w:val="00A24750"/>
    <w:rsid w:val="00A26580"/>
    <w:rsid w:val="00A278FF"/>
    <w:rsid w:val="00A27A1D"/>
    <w:rsid w:val="00A34DED"/>
    <w:rsid w:val="00A366AD"/>
    <w:rsid w:val="00A42156"/>
    <w:rsid w:val="00A464DB"/>
    <w:rsid w:val="00A47261"/>
    <w:rsid w:val="00A56AE0"/>
    <w:rsid w:val="00A6074C"/>
    <w:rsid w:val="00A63977"/>
    <w:rsid w:val="00A649F8"/>
    <w:rsid w:val="00A64F3C"/>
    <w:rsid w:val="00A70FDA"/>
    <w:rsid w:val="00A7555F"/>
    <w:rsid w:val="00A765CF"/>
    <w:rsid w:val="00A76933"/>
    <w:rsid w:val="00A82060"/>
    <w:rsid w:val="00A86266"/>
    <w:rsid w:val="00A927A4"/>
    <w:rsid w:val="00A9340A"/>
    <w:rsid w:val="00AA23AE"/>
    <w:rsid w:val="00AA37DA"/>
    <w:rsid w:val="00AA5B3F"/>
    <w:rsid w:val="00AA6D60"/>
    <w:rsid w:val="00AB0707"/>
    <w:rsid w:val="00AB07E5"/>
    <w:rsid w:val="00AB0960"/>
    <w:rsid w:val="00AB16CA"/>
    <w:rsid w:val="00AB5CF8"/>
    <w:rsid w:val="00AC11E9"/>
    <w:rsid w:val="00AC2562"/>
    <w:rsid w:val="00AC3A43"/>
    <w:rsid w:val="00AC572E"/>
    <w:rsid w:val="00AC7277"/>
    <w:rsid w:val="00AD07BC"/>
    <w:rsid w:val="00AD151C"/>
    <w:rsid w:val="00AD1E10"/>
    <w:rsid w:val="00AD5F3C"/>
    <w:rsid w:val="00AE1ADF"/>
    <w:rsid w:val="00AE49F7"/>
    <w:rsid w:val="00AF26DE"/>
    <w:rsid w:val="00AF2C67"/>
    <w:rsid w:val="00AF4B6F"/>
    <w:rsid w:val="00B02F59"/>
    <w:rsid w:val="00B033B8"/>
    <w:rsid w:val="00B14744"/>
    <w:rsid w:val="00B150CA"/>
    <w:rsid w:val="00B15A10"/>
    <w:rsid w:val="00B25B44"/>
    <w:rsid w:val="00B267CF"/>
    <w:rsid w:val="00B32268"/>
    <w:rsid w:val="00B34331"/>
    <w:rsid w:val="00B35A1A"/>
    <w:rsid w:val="00B362E0"/>
    <w:rsid w:val="00B40B97"/>
    <w:rsid w:val="00B44AB4"/>
    <w:rsid w:val="00B4543F"/>
    <w:rsid w:val="00B458C2"/>
    <w:rsid w:val="00B46C05"/>
    <w:rsid w:val="00B5332F"/>
    <w:rsid w:val="00B55947"/>
    <w:rsid w:val="00B562D9"/>
    <w:rsid w:val="00B56E46"/>
    <w:rsid w:val="00B56E7D"/>
    <w:rsid w:val="00B627C8"/>
    <w:rsid w:val="00B64E1D"/>
    <w:rsid w:val="00B654ED"/>
    <w:rsid w:val="00B70620"/>
    <w:rsid w:val="00B720FB"/>
    <w:rsid w:val="00B72409"/>
    <w:rsid w:val="00B769C5"/>
    <w:rsid w:val="00B77B19"/>
    <w:rsid w:val="00B77FF7"/>
    <w:rsid w:val="00B86C7E"/>
    <w:rsid w:val="00B90D60"/>
    <w:rsid w:val="00B925E7"/>
    <w:rsid w:val="00B92A09"/>
    <w:rsid w:val="00BA0B29"/>
    <w:rsid w:val="00BB04FA"/>
    <w:rsid w:val="00BB3926"/>
    <w:rsid w:val="00BB4CB2"/>
    <w:rsid w:val="00BB6891"/>
    <w:rsid w:val="00BC6F23"/>
    <w:rsid w:val="00BD0541"/>
    <w:rsid w:val="00BD0633"/>
    <w:rsid w:val="00BD0F86"/>
    <w:rsid w:val="00BD2766"/>
    <w:rsid w:val="00BD56FF"/>
    <w:rsid w:val="00BE1A2E"/>
    <w:rsid w:val="00BE282A"/>
    <w:rsid w:val="00BE5998"/>
    <w:rsid w:val="00BE642B"/>
    <w:rsid w:val="00BF1B62"/>
    <w:rsid w:val="00BF22F8"/>
    <w:rsid w:val="00BF25A7"/>
    <w:rsid w:val="00BF2D2D"/>
    <w:rsid w:val="00BF57D9"/>
    <w:rsid w:val="00BF68B6"/>
    <w:rsid w:val="00C001F4"/>
    <w:rsid w:val="00C00F4F"/>
    <w:rsid w:val="00C0410C"/>
    <w:rsid w:val="00C05AAB"/>
    <w:rsid w:val="00C062C3"/>
    <w:rsid w:val="00C11F8E"/>
    <w:rsid w:val="00C1496A"/>
    <w:rsid w:val="00C14CEB"/>
    <w:rsid w:val="00C20CD9"/>
    <w:rsid w:val="00C21C2C"/>
    <w:rsid w:val="00C24928"/>
    <w:rsid w:val="00C322A1"/>
    <w:rsid w:val="00C36273"/>
    <w:rsid w:val="00C36CE0"/>
    <w:rsid w:val="00C37424"/>
    <w:rsid w:val="00C41CE7"/>
    <w:rsid w:val="00C44B14"/>
    <w:rsid w:val="00C46A59"/>
    <w:rsid w:val="00C46CB0"/>
    <w:rsid w:val="00C50116"/>
    <w:rsid w:val="00C55991"/>
    <w:rsid w:val="00C6078C"/>
    <w:rsid w:val="00C642CC"/>
    <w:rsid w:val="00C6475B"/>
    <w:rsid w:val="00C650C3"/>
    <w:rsid w:val="00C67B9A"/>
    <w:rsid w:val="00C7213A"/>
    <w:rsid w:val="00C761A2"/>
    <w:rsid w:val="00C802E4"/>
    <w:rsid w:val="00C905B0"/>
    <w:rsid w:val="00C93EED"/>
    <w:rsid w:val="00C951CC"/>
    <w:rsid w:val="00C96963"/>
    <w:rsid w:val="00CA1824"/>
    <w:rsid w:val="00CA4617"/>
    <w:rsid w:val="00CB13E8"/>
    <w:rsid w:val="00CB5545"/>
    <w:rsid w:val="00CC21F4"/>
    <w:rsid w:val="00CC3224"/>
    <w:rsid w:val="00CC3736"/>
    <w:rsid w:val="00CC44BB"/>
    <w:rsid w:val="00CC4EF6"/>
    <w:rsid w:val="00CC5C25"/>
    <w:rsid w:val="00CE1FCF"/>
    <w:rsid w:val="00CE4C1E"/>
    <w:rsid w:val="00CF027E"/>
    <w:rsid w:val="00CF080D"/>
    <w:rsid w:val="00CF30B2"/>
    <w:rsid w:val="00CF3802"/>
    <w:rsid w:val="00CF4C4E"/>
    <w:rsid w:val="00CF53DD"/>
    <w:rsid w:val="00CF75A0"/>
    <w:rsid w:val="00D00A39"/>
    <w:rsid w:val="00D01697"/>
    <w:rsid w:val="00D039B9"/>
    <w:rsid w:val="00D0536D"/>
    <w:rsid w:val="00D0571C"/>
    <w:rsid w:val="00D107B0"/>
    <w:rsid w:val="00D1117C"/>
    <w:rsid w:val="00D12FC8"/>
    <w:rsid w:val="00D13B96"/>
    <w:rsid w:val="00D15782"/>
    <w:rsid w:val="00D17BB2"/>
    <w:rsid w:val="00D20B46"/>
    <w:rsid w:val="00D25E44"/>
    <w:rsid w:val="00D32654"/>
    <w:rsid w:val="00D33D64"/>
    <w:rsid w:val="00D527DB"/>
    <w:rsid w:val="00D53854"/>
    <w:rsid w:val="00D5399E"/>
    <w:rsid w:val="00D552C8"/>
    <w:rsid w:val="00D57EC4"/>
    <w:rsid w:val="00D648D0"/>
    <w:rsid w:val="00D77FC2"/>
    <w:rsid w:val="00D82A7A"/>
    <w:rsid w:val="00D83454"/>
    <w:rsid w:val="00D870B9"/>
    <w:rsid w:val="00D9195A"/>
    <w:rsid w:val="00D91B82"/>
    <w:rsid w:val="00D93CED"/>
    <w:rsid w:val="00D93DEA"/>
    <w:rsid w:val="00D9541E"/>
    <w:rsid w:val="00D96082"/>
    <w:rsid w:val="00DA0064"/>
    <w:rsid w:val="00DA0EC2"/>
    <w:rsid w:val="00DA75CF"/>
    <w:rsid w:val="00DA7692"/>
    <w:rsid w:val="00DB0EA6"/>
    <w:rsid w:val="00DB0EC8"/>
    <w:rsid w:val="00DB1FCA"/>
    <w:rsid w:val="00DB3306"/>
    <w:rsid w:val="00DB34B7"/>
    <w:rsid w:val="00DB3F0B"/>
    <w:rsid w:val="00DB5550"/>
    <w:rsid w:val="00DB72B5"/>
    <w:rsid w:val="00DC3BC4"/>
    <w:rsid w:val="00DC4AA4"/>
    <w:rsid w:val="00DD0286"/>
    <w:rsid w:val="00DD0D6E"/>
    <w:rsid w:val="00DD2BCE"/>
    <w:rsid w:val="00DD4067"/>
    <w:rsid w:val="00DD48F3"/>
    <w:rsid w:val="00DD68A6"/>
    <w:rsid w:val="00DD72E1"/>
    <w:rsid w:val="00DD7D00"/>
    <w:rsid w:val="00DE4D05"/>
    <w:rsid w:val="00DF0DDF"/>
    <w:rsid w:val="00DF143E"/>
    <w:rsid w:val="00DF2729"/>
    <w:rsid w:val="00DF6E5B"/>
    <w:rsid w:val="00E0054E"/>
    <w:rsid w:val="00E041C8"/>
    <w:rsid w:val="00E04390"/>
    <w:rsid w:val="00E044F9"/>
    <w:rsid w:val="00E163E1"/>
    <w:rsid w:val="00E228E3"/>
    <w:rsid w:val="00E23BC7"/>
    <w:rsid w:val="00E312BC"/>
    <w:rsid w:val="00E31352"/>
    <w:rsid w:val="00E377E3"/>
    <w:rsid w:val="00E40838"/>
    <w:rsid w:val="00E4123F"/>
    <w:rsid w:val="00E43478"/>
    <w:rsid w:val="00E45084"/>
    <w:rsid w:val="00E459C1"/>
    <w:rsid w:val="00E45FF8"/>
    <w:rsid w:val="00E51052"/>
    <w:rsid w:val="00E517D0"/>
    <w:rsid w:val="00E5527A"/>
    <w:rsid w:val="00E577EE"/>
    <w:rsid w:val="00E57984"/>
    <w:rsid w:val="00E617EB"/>
    <w:rsid w:val="00E61AA4"/>
    <w:rsid w:val="00E626ED"/>
    <w:rsid w:val="00E62F72"/>
    <w:rsid w:val="00E65578"/>
    <w:rsid w:val="00E74F8C"/>
    <w:rsid w:val="00E8015F"/>
    <w:rsid w:val="00E81497"/>
    <w:rsid w:val="00E83693"/>
    <w:rsid w:val="00E856F4"/>
    <w:rsid w:val="00E91A83"/>
    <w:rsid w:val="00E91BD4"/>
    <w:rsid w:val="00E96085"/>
    <w:rsid w:val="00E9705E"/>
    <w:rsid w:val="00EA1004"/>
    <w:rsid w:val="00EA6825"/>
    <w:rsid w:val="00EA7D55"/>
    <w:rsid w:val="00EB0026"/>
    <w:rsid w:val="00EB12F5"/>
    <w:rsid w:val="00EB243C"/>
    <w:rsid w:val="00EB24C3"/>
    <w:rsid w:val="00EB2DE7"/>
    <w:rsid w:val="00EB4EE8"/>
    <w:rsid w:val="00EC3A17"/>
    <w:rsid w:val="00EC53DA"/>
    <w:rsid w:val="00ED46EC"/>
    <w:rsid w:val="00ED4F9F"/>
    <w:rsid w:val="00ED58C8"/>
    <w:rsid w:val="00EE296B"/>
    <w:rsid w:val="00EE56CF"/>
    <w:rsid w:val="00EF185F"/>
    <w:rsid w:val="00F00DFC"/>
    <w:rsid w:val="00F010BF"/>
    <w:rsid w:val="00F040F1"/>
    <w:rsid w:val="00F07D7D"/>
    <w:rsid w:val="00F127CA"/>
    <w:rsid w:val="00F145BF"/>
    <w:rsid w:val="00F15A08"/>
    <w:rsid w:val="00F16B6E"/>
    <w:rsid w:val="00F16F15"/>
    <w:rsid w:val="00F172E0"/>
    <w:rsid w:val="00F21E30"/>
    <w:rsid w:val="00F251A1"/>
    <w:rsid w:val="00F2688F"/>
    <w:rsid w:val="00F3347F"/>
    <w:rsid w:val="00F33ED5"/>
    <w:rsid w:val="00F3448F"/>
    <w:rsid w:val="00F3579D"/>
    <w:rsid w:val="00F35DC4"/>
    <w:rsid w:val="00F36F80"/>
    <w:rsid w:val="00F42CDE"/>
    <w:rsid w:val="00F43E26"/>
    <w:rsid w:val="00F43ECD"/>
    <w:rsid w:val="00F44EA0"/>
    <w:rsid w:val="00F50D44"/>
    <w:rsid w:val="00F51459"/>
    <w:rsid w:val="00F53066"/>
    <w:rsid w:val="00F56ED0"/>
    <w:rsid w:val="00F634B9"/>
    <w:rsid w:val="00F6467E"/>
    <w:rsid w:val="00F65C28"/>
    <w:rsid w:val="00F67792"/>
    <w:rsid w:val="00F700E0"/>
    <w:rsid w:val="00F71AE8"/>
    <w:rsid w:val="00F77324"/>
    <w:rsid w:val="00F774BC"/>
    <w:rsid w:val="00F77DEA"/>
    <w:rsid w:val="00F82597"/>
    <w:rsid w:val="00F83CCF"/>
    <w:rsid w:val="00F86F91"/>
    <w:rsid w:val="00F90196"/>
    <w:rsid w:val="00F9603C"/>
    <w:rsid w:val="00F96F47"/>
    <w:rsid w:val="00F976A3"/>
    <w:rsid w:val="00FA1340"/>
    <w:rsid w:val="00FA3014"/>
    <w:rsid w:val="00FA5629"/>
    <w:rsid w:val="00FB1798"/>
    <w:rsid w:val="00FB7B3A"/>
    <w:rsid w:val="00FC3049"/>
    <w:rsid w:val="00FC4AE1"/>
    <w:rsid w:val="00FC5632"/>
    <w:rsid w:val="00FD0484"/>
    <w:rsid w:val="00FD45ED"/>
    <w:rsid w:val="00FD6ACD"/>
    <w:rsid w:val="00FE09CF"/>
    <w:rsid w:val="00FE0FE5"/>
    <w:rsid w:val="00FE4BC6"/>
    <w:rsid w:val="00FE659C"/>
    <w:rsid w:val="00FF094C"/>
    <w:rsid w:val="00FF2EA9"/>
    <w:rsid w:val="00FF3F3C"/>
    <w:rsid w:val="00FF4296"/>
    <w:rsid w:val="00FF5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6891"/>
  </w:style>
  <w:style w:type="paragraph" w:styleId="Heading1">
    <w:name w:val="heading 1"/>
    <w:basedOn w:val="Normal"/>
    <w:next w:val="Normal"/>
    <w:link w:val="Heading1Char"/>
    <w:uiPriority w:val="9"/>
    <w:qFormat/>
    <w:rsid w:val="003C0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D2BCE"/>
    <w:pPr>
      <w:spacing w:before="100" w:beforeAutospacing="1" w:after="100" w:afterAutospacing="1"/>
      <w:outlineLvl w:val="1"/>
    </w:pPr>
    <w:rPr>
      <w:rFonts w:eastAsia="Times New Roman"/>
      <w:b/>
      <w:bCs/>
      <w:color w:val="auto"/>
      <w:kern w:val="0"/>
      <w:szCs w:val="36"/>
    </w:rPr>
  </w:style>
  <w:style w:type="paragraph" w:styleId="Heading3">
    <w:name w:val="heading 3"/>
    <w:basedOn w:val="Normal"/>
    <w:next w:val="Normal"/>
    <w:link w:val="Heading3Char"/>
    <w:uiPriority w:val="9"/>
    <w:unhideWhenUsed/>
    <w:qFormat/>
    <w:rsid w:val="00DD2BCE"/>
    <w:pPr>
      <w:keepNext/>
      <w:keepLines/>
      <w:spacing w:before="200"/>
      <w:outlineLvl w:val="2"/>
    </w:pPr>
    <w:rPr>
      <w:rFonts w:eastAsiaTheme="majorEastAsia" w:cstheme="majorBidi"/>
      <w:b/>
      <w:bCs/>
      <w:color w:val="auto"/>
      <w:sz w:val="20"/>
    </w:rPr>
  </w:style>
  <w:style w:type="paragraph" w:styleId="Heading6">
    <w:name w:val="heading 6"/>
    <w:basedOn w:val="Normal"/>
    <w:next w:val="Normal"/>
    <w:link w:val="Heading6Char"/>
    <w:uiPriority w:val="9"/>
    <w:semiHidden/>
    <w:unhideWhenUsed/>
    <w:qFormat/>
    <w:rsid w:val="003C012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713A91"/>
    <w:rPr>
      <w:sz w:val="20"/>
      <w:szCs w:val="20"/>
    </w:rPr>
  </w:style>
  <w:style w:type="character" w:customStyle="1" w:styleId="FootnoteTextChar">
    <w:name w:val="Footnote Text Char"/>
    <w:basedOn w:val="DefaultParagraphFont"/>
    <w:link w:val="FootnoteText"/>
    <w:uiPriority w:val="99"/>
    <w:semiHidden/>
    <w:rsid w:val="00713A91"/>
    <w:rPr>
      <w:sz w:val="20"/>
      <w:szCs w:val="20"/>
    </w:rPr>
  </w:style>
  <w:style w:type="character" w:styleId="FootnoteReference">
    <w:name w:val="footnote reference"/>
    <w:basedOn w:val="DefaultParagraphFont"/>
    <w:uiPriority w:val="99"/>
    <w:semiHidden/>
    <w:unhideWhenUsed/>
    <w:qFormat/>
    <w:rsid w:val="00713A91"/>
    <w:rPr>
      <w:vertAlign w:val="superscript"/>
    </w:rPr>
  </w:style>
  <w:style w:type="paragraph" w:customStyle="1" w:styleId="emission">
    <w:name w:val="emission"/>
    <w:basedOn w:val="Normal"/>
    <w:rsid w:val="00713A91"/>
    <w:pPr>
      <w:spacing w:before="100" w:beforeAutospacing="1" w:after="100" w:afterAutospacing="1"/>
    </w:pPr>
    <w:rPr>
      <w:rFonts w:eastAsia="Times New Roman"/>
      <w:color w:val="auto"/>
      <w:kern w:val="0"/>
    </w:rPr>
  </w:style>
  <w:style w:type="paragraph" w:customStyle="1" w:styleId="rfrenceinstitutionnelle">
    <w:name w:val="rfrenceinstitutionnelle"/>
    <w:basedOn w:val="Normal"/>
    <w:rsid w:val="00713A91"/>
    <w:pPr>
      <w:spacing w:before="100" w:beforeAutospacing="1" w:after="100" w:afterAutospacing="1"/>
    </w:pPr>
    <w:rPr>
      <w:rFonts w:eastAsia="Times New Roman"/>
      <w:color w:val="auto"/>
      <w:kern w:val="0"/>
    </w:rPr>
  </w:style>
  <w:style w:type="paragraph" w:customStyle="1" w:styleId="typedudocumentcp">
    <w:name w:val="typedudocument_cp"/>
    <w:basedOn w:val="Normal"/>
    <w:rsid w:val="00713A91"/>
    <w:pPr>
      <w:spacing w:before="100" w:beforeAutospacing="1" w:after="100" w:afterAutospacing="1"/>
    </w:pPr>
    <w:rPr>
      <w:rFonts w:eastAsia="Times New Roman"/>
      <w:color w:val="auto"/>
      <w:kern w:val="0"/>
    </w:rPr>
  </w:style>
  <w:style w:type="paragraph" w:customStyle="1" w:styleId="accompagnantcp">
    <w:name w:val="accompagnant_cp"/>
    <w:basedOn w:val="Normal"/>
    <w:rsid w:val="00713A91"/>
    <w:pPr>
      <w:spacing w:before="100" w:beforeAutospacing="1" w:after="100" w:afterAutospacing="1"/>
    </w:pPr>
    <w:rPr>
      <w:rFonts w:eastAsia="Times New Roman"/>
      <w:color w:val="auto"/>
      <w:kern w:val="0"/>
    </w:rPr>
  </w:style>
  <w:style w:type="paragraph" w:customStyle="1" w:styleId="typeacteprincipalcp">
    <w:name w:val="typeacteprincipal_cp"/>
    <w:basedOn w:val="Normal"/>
    <w:rsid w:val="00713A91"/>
    <w:pPr>
      <w:spacing w:before="100" w:beforeAutospacing="1" w:after="100" w:afterAutospacing="1"/>
    </w:pPr>
    <w:rPr>
      <w:rFonts w:eastAsia="Times New Roman"/>
      <w:color w:val="auto"/>
      <w:kern w:val="0"/>
    </w:rPr>
  </w:style>
  <w:style w:type="paragraph" w:customStyle="1" w:styleId="objetacteprincipalcp">
    <w:name w:val="objetacteprincipal_cp"/>
    <w:basedOn w:val="Normal"/>
    <w:rsid w:val="00713A91"/>
    <w:pPr>
      <w:spacing w:before="100" w:beforeAutospacing="1" w:after="100" w:afterAutospacing="1"/>
    </w:pPr>
    <w:rPr>
      <w:rFonts w:eastAsia="Times New Roman"/>
      <w:color w:val="auto"/>
      <w:kern w:val="0"/>
    </w:rPr>
  </w:style>
  <w:style w:type="paragraph" w:customStyle="1" w:styleId="basic-paragraph">
    <w:name w:val="basic-paragraph"/>
    <w:basedOn w:val="Normal"/>
    <w:rsid w:val="008166FB"/>
    <w:pPr>
      <w:spacing w:before="100" w:beforeAutospacing="1" w:after="100" w:afterAutospacing="1"/>
    </w:pPr>
    <w:rPr>
      <w:rFonts w:eastAsia="Times New Roman"/>
      <w:color w:val="auto"/>
      <w:kern w:val="0"/>
    </w:rPr>
  </w:style>
  <w:style w:type="character" w:customStyle="1" w:styleId="italik">
    <w:name w:val="italik"/>
    <w:basedOn w:val="DefaultParagraphFont"/>
    <w:rsid w:val="008166FB"/>
  </w:style>
  <w:style w:type="paragraph" w:customStyle="1" w:styleId="bold">
    <w:name w:val="bold"/>
    <w:basedOn w:val="Normal"/>
    <w:rsid w:val="008166FB"/>
    <w:pPr>
      <w:spacing w:before="100" w:beforeAutospacing="1" w:after="100" w:afterAutospacing="1"/>
    </w:pPr>
    <w:rPr>
      <w:rFonts w:eastAsia="Times New Roman"/>
      <w:color w:val="auto"/>
      <w:kern w:val="0"/>
    </w:rPr>
  </w:style>
  <w:style w:type="paragraph" w:customStyle="1" w:styleId="clan">
    <w:name w:val="clan"/>
    <w:basedOn w:val="Normal"/>
    <w:rsid w:val="008166FB"/>
    <w:pPr>
      <w:spacing w:before="100" w:beforeAutospacing="1" w:after="100" w:afterAutospacing="1"/>
    </w:pPr>
    <w:rPr>
      <w:rFonts w:eastAsia="Times New Roman"/>
      <w:color w:val="auto"/>
      <w:kern w:val="0"/>
    </w:rPr>
  </w:style>
  <w:style w:type="paragraph" w:customStyle="1" w:styleId="odluka-zakon">
    <w:name w:val="odluka-zakon"/>
    <w:basedOn w:val="Normal"/>
    <w:rsid w:val="008166FB"/>
    <w:pPr>
      <w:spacing w:before="100" w:beforeAutospacing="1" w:after="100" w:afterAutospacing="1"/>
    </w:pPr>
    <w:rPr>
      <w:rFonts w:eastAsia="Times New Roman"/>
      <w:color w:val="auto"/>
      <w:kern w:val="0"/>
    </w:rPr>
  </w:style>
  <w:style w:type="paragraph" w:customStyle="1" w:styleId="auto-style1">
    <w:name w:val="auto-style1"/>
    <w:basedOn w:val="Normal"/>
    <w:rsid w:val="008166FB"/>
    <w:pPr>
      <w:spacing w:before="100" w:beforeAutospacing="1" w:after="100" w:afterAutospacing="1"/>
    </w:pPr>
    <w:rPr>
      <w:rFonts w:eastAsia="Times New Roman"/>
      <w:color w:val="auto"/>
      <w:kern w:val="0"/>
    </w:rPr>
  </w:style>
  <w:style w:type="paragraph" w:customStyle="1" w:styleId="centar">
    <w:name w:val="centar"/>
    <w:basedOn w:val="Normal"/>
    <w:rsid w:val="00B77B19"/>
    <w:pPr>
      <w:spacing w:before="100" w:beforeAutospacing="1" w:after="100" w:afterAutospacing="1"/>
    </w:pPr>
    <w:rPr>
      <w:rFonts w:eastAsia="Times New Roman"/>
      <w:color w:val="auto"/>
      <w:kern w:val="0"/>
    </w:rPr>
  </w:style>
  <w:style w:type="paragraph" w:customStyle="1" w:styleId="Default">
    <w:name w:val="Default"/>
    <w:rsid w:val="006C3281"/>
    <w:pPr>
      <w:autoSpaceDE w:val="0"/>
      <w:autoSpaceDN w:val="0"/>
      <w:adjustRightInd w:val="0"/>
    </w:pPr>
    <w:rPr>
      <w:rFonts w:ascii="Arial" w:hAnsi="Arial" w:cs="Arial"/>
      <w:kern w:val="0"/>
    </w:rPr>
  </w:style>
  <w:style w:type="paragraph" w:styleId="ListParagraph">
    <w:name w:val="List Paragraph"/>
    <w:basedOn w:val="Normal"/>
    <w:link w:val="ListParagraphChar"/>
    <w:uiPriority w:val="34"/>
    <w:qFormat/>
    <w:rsid w:val="006C3281"/>
    <w:pPr>
      <w:ind w:left="720"/>
      <w:contextualSpacing/>
    </w:pPr>
  </w:style>
  <w:style w:type="table" w:styleId="TableGrid">
    <w:name w:val="Table Grid"/>
    <w:basedOn w:val="TableNormal"/>
    <w:uiPriority w:val="59"/>
    <w:rsid w:val="00881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TF-TEXTE1115">
    <w:name w:val="FATF-TEXTE 11/15"/>
    <w:link w:val="FATF-TEXTE1115Char"/>
    <w:qFormat/>
    <w:rsid w:val="0088138E"/>
    <w:pPr>
      <w:tabs>
        <w:tab w:val="left" w:pos="624"/>
        <w:tab w:val="left" w:pos="1247"/>
        <w:tab w:val="left" w:pos="1871"/>
        <w:tab w:val="left" w:pos="2495"/>
        <w:tab w:val="left" w:pos="3119"/>
      </w:tabs>
      <w:spacing w:after="120" w:line="300" w:lineRule="exact"/>
      <w:jc w:val="both"/>
    </w:pPr>
    <w:rPr>
      <w:rFonts w:ascii="Cambria" w:eastAsia="SimSun" w:hAnsi="Cambria"/>
      <w:color w:val="auto"/>
      <w:kern w:val="0"/>
      <w:sz w:val="22"/>
      <w:szCs w:val="22"/>
      <w:lang w:val="en-GB" w:eastAsia="zh-CN"/>
    </w:rPr>
  </w:style>
  <w:style w:type="character" w:customStyle="1" w:styleId="FATF-TEXTE1115Char">
    <w:name w:val="FATF-TEXTE 11/15 Char"/>
    <w:basedOn w:val="DefaultParagraphFont"/>
    <w:link w:val="FATF-TEXTE1115"/>
    <w:rsid w:val="0088138E"/>
    <w:rPr>
      <w:rFonts w:ascii="Cambria" w:eastAsia="SimSun" w:hAnsi="Cambria"/>
      <w:color w:val="auto"/>
      <w:kern w:val="0"/>
      <w:sz w:val="22"/>
      <w:szCs w:val="22"/>
      <w:lang w:val="en-GB" w:eastAsia="zh-CN"/>
    </w:rPr>
  </w:style>
  <w:style w:type="paragraph" w:styleId="BalloonText">
    <w:name w:val="Balloon Text"/>
    <w:basedOn w:val="Normal"/>
    <w:link w:val="BalloonTextChar"/>
    <w:uiPriority w:val="99"/>
    <w:semiHidden/>
    <w:unhideWhenUsed/>
    <w:rsid w:val="00A26580"/>
    <w:rPr>
      <w:rFonts w:ascii="Tahoma" w:hAnsi="Tahoma" w:cs="Tahoma"/>
      <w:sz w:val="16"/>
      <w:szCs w:val="16"/>
    </w:rPr>
  </w:style>
  <w:style w:type="character" w:customStyle="1" w:styleId="BalloonTextChar">
    <w:name w:val="Balloon Text Char"/>
    <w:basedOn w:val="DefaultParagraphFont"/>
    <w:link w:val="BalloonText"/>
    <w:uiPriority w:val="99"/>
    <w:semiHidden/>
    <w:rsid w:val="00A26580"/>
    <w:rPr>
      <w:rFonts w:ascii="Tahoma" w:hAnsi="Tahoma" w:cs="Tahoma"/>
      <w:sz w:val="16"/>
      <w:szCs w:val="16"/>
    </w:rPr>
  </w:style>
  <w:style w:type="character" w:customStyle="1" w:styleId="Heading2Char">
    <w:name w:val="Heading 2 Char"/>
    <w:basedOn w:val="DefaultParagraphFont"/>
    <w:link w:val="Heading2"/>
    <w:uiPriority w:val="9"/>
    <w:rsid w:val="00DD2BCE"/>
    <w:rPr>
      <w:rFonts w:eastAsia="Times New Roman"/>
      <w:b/>
      <w:bCs/>
      <w:color w:val="auto"/>
      <w:kern w:val="0"/>
      <w:szCs w:val="36"/>
    </w:rPr>
  </w:style>
  <w:style w:type="paragraph" w:styleId="PlainText">
    <w:name w:val="Plain Text"/>
    <w:basedOn w:val="Normal"/>
    <w:link w:val="PlainTextChar"/>
    <w:uiPriority w:val="99"/>
    <w:semiHidden/>
    <w:unhideWhenUsed/>
    <w:rsid w:val="000E3FF6"/>
    <w:rPr>
      <w:rFonts w:ascii="Consolas" w:eastAsia="Calibri" w:hAnsi="Consolas"/>
      <w:color w:val="auto"/>
      <w:kern w:val="0"/>
      <w:sz w:val="21"/>
      <w:szCs w:val="21"/>
    </w:rPr>
  </w:style>
  <w:style w:type="character" w:customStyle="1" w:styleId="PlainTextChar">
    <w:name w:val="Plain Text Char"/>
    <w:basedOn w:val="DefaultParagraphFont"/>
    <w:link w:val="PlainText"/>
    <w:uiPriority w:val="99"/>
    <w:semiHidden/>
    <w:rsid w:val="000E3FF6"/>
    <w:rPr>
      <w:rFonts w:ascii="Consolas" w:eastAsia="Calibri" w:hAnsi="Consolas"/>
      <w:color w:val="auto"/>
      <w:kern w:val="0"/>
      <w:sz w:val="21"/>
      <w:szCs w:val="21"/>
    </w:rPr>
  </w:style>
  <w:style w:type="paragraph" w:styleId="NormalWeb">
    <w:name w:val="Normal (Web)"/>
    <w:basedOn w:val="Normal"/>
    <w:uiPriority w:val="99"/>
    <w:semiHidden/>
    <w:unhideWhenUsed/>
    <w:rsid w:val="00F6467E"/>
    <w:pPr>
      <w:spacing w:before="100" w:beforeAutospacing="1" w:after="100" w:afterAutospacing="1"/>
    </w:pPr>
    <w:rPr>
      <w:rFonts w:eastAsia="Times New Roman"/>
      <w:color w:val="auto"/>
      <w:kern w:val="0"/>
    </w:rPr>
  </w:style>
  <w:style w:type="character" w:styleId="Strong">
    <w:name w:val="Strong"/>
    <w:basedOn w:val="DefaultParagraphFont"/>
    <w:uiPriority w:val="22"/>
    <w:qFormat/>
    <w:rsid w:val="00F6467E"/>
    <w:rPr>
      <w:b/>
      <w:bCs/>
    </w:rPr>
  </w:style>
  <w:style w:type="character" w:customStyle="1" w:styleId="Heading1Char">
    <w:name w:val="Heading 1 Char"/>
    <w:basedOn w:val="DefaultParagraphFont"/>
    <w:link w:val="Heading1"/>
    <w:uiPriority w:val="9"/>
    <w:rsid w:val="003C012B"/>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3C012B"/>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3C012B"/>
    <w:rPr>
      <w:color w:val="0000FF"/>
      <w:u w:val="single"/>
    </w:rPr>
  </w:style>
  <w:style w:type="paragraph" w:styleId="NoSpacing">
    <w:name w:val="No Spacing"/>
    <w:link w:val="NoSpacingChar"/>
    <w:uiPriority w:val="1"/>
    <w:qFormat/>
    <w:rsid w:val="00F36F80"/>
    <w:rPr>
      <w:rFonts w:asciiTheme="minorHAnsi" w:eastAsiaTheme="minorEastAsia" w:hAnsiTheme="minorHAnsi" w:cstheme="minorBidi"/>
      <w:color w:val="auto"/>
      <w:kern w:val="0"/>
      <w:sz w:val="22"/>
      <w:szCs w:val="22"/>
    </w:rPr>
  </w:style>
  <w:style w:type="character" w:customStyle="1" w:styleId="NoSpacingChar">
    <w:name w:val="No Spacing Char"/>
    <w:basedOn w:val="DefaultParagraphFont"/>
    <w:link w:val="NoSpacing"/>
    <w:uiPriority w:val="1"/>
    <w:rsid w:val="00F36F80"/>
    <w:rPr>
      <w:rFonts w:asciiTheme="minorHAnsi" w:eastAsiaTheme="minorEastAsia" w:hAnsiTheme="minorHAnsi" w:cstheme="minorBidi"/>
      <w:color w:val="auto"/>
      <w:kern w:val="0"/>
      <w:sz w:val="22"/>
      <w:szCs w:val="22"/>
    </w:rPr>
  </w:style>
  <w:style w:type="character" w:styleId="CommentReference">
    <w:name w:val="annotation reference"/>
    <w:basedOn w:val="DefaultParagraphFont"/>
    <w:uiPriority w:val="99"/>
    <w:semiHidden/>
    <w:unhideWhenUsed/>
    <w:rsid w:val="00BE1A2E"/>
    <w:rPr>
      <w:sz w:val="16"/>
      <w:szCs w:val="16"/>
    </w:rPr>
  </w:style>
  <w:style w:type="paragraph" w:styleId="CommentText">
    <w:name w:val="annotation text"/>
    <w:basedOn w:val="Normal"/>
    <w:link w:val="CommentTextChar"/>
    <w:uiPriority w:val="99"/>
    <w:unhideWhenUsed/>
    <w:rsid w:val="00BE1A2E"/>
    <w:rPr>
      <w:sz w:val="20"/>
      <w:szCs w:val="20"/>
    </w:rPr>
  </w:style>
  <w:style w:type="character" w:customStyle="1" w:styleId="CommentTextChar">
    <w:name w:val="Comment Text Char"/>
    <w:basedOn w:val="DefaultParagraphFont"/>
    <w:link w:val="CommentText"/>
    <w:uiPriority w:val="99"/>
    <w:rsid w:val="00BE1A2E"/>
    <w:rPr>
      <w:sz w:val="20"/>
      <w:szCs w:val="20"/>
    </w:rPr>
  </w:style>
  <w:style w:type="paragraph" w:styleId="CommentSubject">
    <w:name w:val="annotation subject"/>
    <w:basedOn w:val="CommentText"/>
    <w:next w:val="CommentText"/>
    <w:link w:val="CommentSubjectChar"/>
    <w:uiPriority w:val="99"/>
    <w:semiHidden/>
    <w:unhideWhenUsed/>
    <w:rsid w:val="00BE1A2E"/>
    <w:rPr>
      <w:b/>
      <w:bCs/>
    </w:rPr>
  </w:style>
  <w:style w:type="character" w:customStyle="1" w:styleId="CommentSubjectChar">
    <w:name w:val="Comment Subject Char"/>
    <w:basedOn w:val="CommentTextChar"/>
    <w:link w:val="CommentSubject"/>
    <w:uiPriority w:val="99"/>
    <w:semiHidden/>
    <w:rsid w:val="00BE1A2E"/>
    <w:rPr>
      <w:b/>
      <w:bCs/>
      <w:sz w:val="20"/>
      <w:szCs w:val="20"/>
    </w:rPr>
  </w:style>
  <w:style w:type="character" w:customStyle="1" w:styleId="ListParagraphChar">
    <w:name w:val="List Paragraph Char"/>
    <w:link w:val="ListParagraph"/>
    <w:uiPriority w:val="34"/>
    <w:locked/>
    <w:rsid w:val="002632C2"/>
  </w:style>
  <w:style w:type="character" w:styleId="PageNumber">
    <w:name w:val="page number"/>
    <w:basedOn w:val="DefaultParagraphFont"/>
    <w:uiPriority w:val="99"/>
    <w:semiHidden/>
    <w:unhideWhenUsed/>
    <w:rsid w:val="00A70FDA"/>
  </w:style>
  <w:style w:type="paragraph" w:styleId="TOCHeading">
    <w:name w:val="TOC Heading"/>
    <w:basedOn w:val="Heading1"/>
    <w:next w:val="Normal"/>
    <w:uiPriority w:val="39"/>
    <w:semiHidden/>
    <w:unhideWhenUsed/>
    <w:qFormat/>
    <w:rsid w:val="00A70FDA"/>
    <w:pPr>
      <w:spacing w:line="276" w:lineRule="auto"/>
      <w:outlineLvl w:val="9"/>
    </w:pPr>
    <w:rPr>
      <w:kern w:val="0"/>
    </w:rPr>
  </w:style>
  <w:style w:type="paragraph" w:styleId="TOC1">
    <w:name w:val="toc 1"/>
    <w:basedOn w:val="Normal"/>
    <w:next w:val="Normal"/>
    <w:autoRedefine/>
    <w:uiPriority w:val="39"/>
    <w:unhideWhenUsed/>
    <w:rsid w:val="00A70FDA"/>
    <w:pPr>
      <w:spacing w:after="100"/>
    </w:pPr>
  </w:style>
  <w:style w:type="character" w:customStyle="1" w:styleId="il">
    <w:name w:val="il"/>
    <w:basedOn w:val="DefaultParagraphFont"/>
    <w:rsid w:val="00E04390"/>
  </w:style>
  <w:style w:type="character" w:customStyle="1" w:styleId="v2-clan-left-1">
    <w:name w:val="v2-clan-left-1"/>
    <w:basedOn w:val="DefaultParagraphFont"/>
    <w:rsid w:val="00DA75CF"/>
  </w:style>
  <w:style w:type="paragraph" w:customStyle="1" w:styleId="potpis">
    <w:name w:val="potpis"/>
    <w:basedOn w:val="Normal"/>
    <w:rsid w:val="00DA75CF"/>
    <w:pPr>
      <w:spacing w:before="100" w:beforeAutospacing="1" w:after="100" w:afterAutospacing="1"/>
    </w:pPr>
    <w:rPr>
      <w:rFonts w:eastAsia="Times New Roman"/>
      <w:color w:val="auto"/>
      <w:kern w:val="0"/>
      <w:lang w:val="en-GB" w:eastAsia="en-GB"/>
    </w:rPr>
  </w:style>
  <w:style w:type="character" w:customStyle="1" w:styleId="st">
    <w:name w:val="st"/>
    <w:basedOn w:val="DefaultParagraphFont"/>
    <w:rsid w:val="0004492D"/>
  </w:style>
  <w:style w:type="paragraph" w:styleId="Header">
    <w:name w:val="header"/>
    <w:basedOn w:val="Normal"/>
    <w:link w:val="HeaderChar"/>
    <w:uiPriority w:val="99"/>
    <w:unhideWhenUsed/>
    <w:rsid w:val="006B456A"/>
    <w:pPr>
      <w:tabs>
        <w:tab w:val="center" w:pos="4513"/>
        <w:tab w:val="right" w:pos="9026"/>
      </w:tabs>
    </w:pPr>
  </w:style>
  <w:style w:type="character" w:customStyle="1" w:styleId="HeaderChar">
    <w:name w:val="Header Char"/>
    <w:basedOn w:val="DefaultParagraphFont"/>
    <w:link w:val="Header"/>
    <w:uiPriority w:val="99"/>
    <w:rsid w:val="006B456A"/>
  </w:style>
  <w:style w:type="paragraph" w:styleId="Footer">
    <w:name w:val="footer"/>
    <w:basedOn w:val="Normal"/>
    <w:link w:val="FooterChar"/>
    <w:uiPriority w:val="99"/>
    <w:unhideWhenUsed/>
    <w:rsid w:val="006B456A"/>
    <w:pPr>
      <w:tabs>
        <w:tab w:val="center" w:pos="4513"/>
        <w:tab w:val="right" w:pos="9026"/>
      </w:tabs>
    </w:pPr>
  </w:style>
  <w:style w:type="character" w:customStyle="1" w:styleId="FooterChar">
    <w:name w:val="Footer Char"/>
    <w:basedOn w:val="DefaultParagraphFont"/>
    <w:link w:val="Footer"/>
    <w:uiPriority w:val="99"/>
    <w:rsid w:val="006B456A"/>
  </w:style>
  <w:style w:type="paragraph" w:styleId="Revision">
    <w:name w:val="Revision"/>
    <w:hidden/>
    <w:uiPriority w:val="99"/>
    <w:semiHidden/>
    <w:rsid w:val="00F43ECD"/>
    <w:rPr>
      <w:rFonts w:asciiTheme="minorHAnsi" w:hAnsiTheme="minorHAnsi" w:cstheme="minorBidi"/>
      <w:color w:val="auto"/>
      <w:kern w:val="0"/>
      <w:sz w:val="22"/>
      <w:szCs w:val="22"/>
    </w:rPr>
  </w:style>
  <w:style w:type="character" w:customStyle="1" w:styleId="highlight">
    <w:name w:val="highlight"/>
    <w:basedOn w:val="DefaultParagraphFont"/>
    <w:rsid w:val="00F43ECD"/>
  </w:style>
  <w:style w:type="character" w:customStyle="1" w:styleId="naslovpropisa1">
    <w:name w:val="naslovpropisa1"/>
    <w:basedOn w:val="DefaultParagraphFont"/>
    <w:rsid w:val="00182940"/>
  </w:style>
  <w:style w:type="character" w:customStyle="1" w:styleId="naslovpropisa1a">
    <w:name w:val="naslovpropisa1a"/>
    <w:basedOn w:val="DefaultParagraphFont"/>
    <w:rsid w:val="00182940"/>
  </w:style>
  <w:style w:type="paragraph" w:customStyle="1" w:styleId="podnaslovpropisa">
    <w:name w:val="podnaslovpropisa"/>
    <w:basedOn w:val="Normal"/>
    <w:rsid w:val="00182940"/>
    <w:pPr>
      <w:spacing w:before="100" w:beforeAutospacing="1" w:after="100" w:afterAutospacing="1"/>
    </w:pPr>
    <w:rPr>
      <w:rFonts w:eastAsia="Times New Roman"/>
      <w:color w:val="auto"/>
      <w:kern w:val="0"/>
    </w:rPr>
  </w:style>
  <w:style w:type="table" w:styleId="MediumGrid3-Accent1">
    <w:name w:val="Medium Grid 3 Accent 1"/>
    <w:basedOn w:val="TableNormal"/>
    <w:uiPriority w:val="69"/>
    <w:rsid w:val="00A1499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rsid w:val="00972C3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Heading3Char">
    <w:name w:val="Heading 3 Char"/>
    <w:basedOn w:val="DefaultParagraphFont"/>
    <w:link w:val="Heading3"/>
    <w:uiPriority w:val="9"/>
    <w:rsid w:val="00DD2BCE"/>
    <w:rPr>
      <w:rFonts w:eastAsiaTheme="majorEastAsia" w:cstheme="majorBidi"/>
      <w:b/>
      <w:bCs/>
      <w:color w:val="auto"/>
      <w:sz w:val="20"/>
    </w:rPr>
  </w:style>
  <w:style w:type="paragraph" w:styleId="TOC2">
    <w:name w:val="toc 2"/>
    <w:basedOn w:val="Normal"/>
    <w:next w:val="Normal"/>
    <w:autoRedefine/>
    <w:uiPriority w:val="39"/>
    <w:unhideWhenUsed/>
    <w:rsid w:val="009E02C0"/>
    <w:pPr>
      <w:spacing w:after="100"/>
      <w:ind w:left="240"/>
    </w:pPr>
  </w:style>
  <w:style w:type="paragraph" w:styleId="TOC3">
    <w:name w:val="toc 3"/>
    <w:basedOn w:val="Normal"/>
    <w:next w:val="Normal"/>
    <w:autoRedefine/>
    <w:uiPriority w:val="39"/>
    <w:unhideWhenUsed/>
    <w:rsid w:val="009E02C0"/>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6891"/>
  </w:style>
  <w:style w:type="paragraph" w:styleId="Heading1">
    <w:name w:val="heading 1"/>
    <w:basedOn w:val="Normal"/>
    <w:next w:val="Normal"/>
    <w:link w:val="Heading1Char"/>
    <w:uiPriority w:val="9"/>
    <w:qFormat/>
    <w:rsid w:val="003C0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D2BCE"/>
    <w:pPr>
      <w:spacing w:before="100" w:beforeAutospacing="1" w:after="100" w:afterAutospacing="1"/>
      <w:outlineLvl w:val="1"/>
    </w:pPr>
    <w:rPr>
      <w:rFonts w:eastAsia="Times New Roman"/>
      <w:b/>
      <w:bCs/>
      <w:color w:val="auto"/>
      <w:kern w:val="0"/>
      <w:szCs w:val="36"/>
    </w:rPr>
  </w:style>
  <w:style w:type="paragraph" w:styleId="Heading3">
    <w:name w:val="heading 3"/>
    <w:basedOn w:val="Normal"/>
    <w:next w:val="Normal"/>
    <w:link w:val="Heading3Char"/>
    <w:uiPriority w:val="9"/>
    <w:unhideWhenUsed/>
    <w:qFormat/>
    <w:rsid w:val="00DD2BCE"/>
    <w:pPr>
      <w:keepNext/>
      <w:keepLines/>
      <w:spacing w:before="200"/>
      <w:outlineLvl w:val="2"/>
    </w:pPr>
    <w:rPr>
      <w:rFonts w:eastAsiaTheme="majorEastAsia" w:cstheme="majorBidi"/>
      <w:b/>
      <w:bCs/>
      <w:color w:val="auto"/>
      <w:sz w:val="20"/>
    </w:rPr>
  </w:style>
  <w:style w:type="paragraph" w:styleId="Heading6">
    <w:name w:val="heading 6"/>
    <w:basedOn w:val="Normal"/>
    <w:next w:val="Normal"/>
    <w:link w:val="Heading6Char"/>
    <w:uiPriority w:val="9"/>
    <w:semiHidden/>
    <w:unhideWhenUsed/>
    <w:qFormat/>
    <w:rsid w:val="003C012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713A91"/>
    <w:rPr>
      <w:sz w:val="20"/>
      <w:szCs w:val="20"/>
    </w:rPr>
  </w:style>
  <w:style w:type="character" w:customStyle="1" w:styleId="FootnoteTextChar">
    <w:name w:val="Footnote Text Char"/>
    <w:basedOn w:val="DefaultParagraphFont"/>
    <w:link w:val="FootnoteText"/>
    <w:uiPriority w:val="99"/>
    <w:semiHidden/>
    <w:rsid w:val="00713A91"/>
    <w:rPr>
      <w:sz w:val="20"/>
      <w:szCs w:val="20"/>
    </w:rPr>
  </w:style>
  <w:style w:type="character" w:styleId="FootnoteReference">
    <w:name w:val="footnote reference"/>
    <w:basedOn w:val="DefaultParagraphFont"/>
    <w:uiPriority w:val="99"/>
    <w:semiHidden/>
    <w:unhideWhenUsed/>
    <w:qFormat/>
    <w:rsid w:val="00713A91"/>
    <w:rPr>
      <w:vertAlign w:val="superscript"/>
    </w:rPr>
  </w:style>
  <w:style w:type="paragraph" w:customStyle="1" w:styleId="emission">
    <w:name w:val="emission"/>
    <w:basedOn w:val="Normal"/>
    <w:rsid w:val="00713A91"/>
    <w:pPr>
      <w:spacing w:before="100" w:beforeAutospacing="1" w:after="100" w:afterAutospacing="1"/>
    </w:pPr>
    <w:rPr>
      <w:rFonts w:eastAsia="Times New Roman"/>
      <w:color w:val="auto"/>
      <w:kern w:val="0"/>
    </w:rPr>
  </w:style>
  <w:style w:type="paragraph" w:customStyle="1" w:styleId="rfrenceinstitutionnelle">
    <w:name w:val="rfrenceinstitutionnelle"/>
    <w:basedOn w:val="Normal"/>
    <w:rsid w:val="00713A91"/>
    <w:pPr>
      <w:spacing w:before="100" w:beforeAutospacing="1" w:after="100" w:afterAutospacing="1"/>
    </w:pPr>
    <w:rPr>
      <w:rFonts w:eastAsia="Times New Roman"/>
      <w:color w:val="auto"/>
      <w:kern w:val="0"/>
    </w:rPr>
  </w:style>
  <w:style w:type="paragraph" w:customStyle="1" w:styleId="typedudocumentcp">
    <w:name w:val="typedudocument_cp"/>
    <w:basedOn w:val="Normal"/>
    <w:rsid w:val="00713A91"/>
    <w:pPr>
      <w:spacing w:before="100" w:beforeAutospacing="1" w:after="100" w:afterAutospacing="1"/>
    </w:pPr>
    <w:rPr>
      <w:rFonts w:eastAsia="Times New Roman"/>
      <w:color w:val="auto"/>
      <w:kern w:val="0"/>
    </w:rPr>
  </w:style>
  <w:style w:type="paragraph" w:customStyle="1" w:styleId="accompagnantcp">
    <w:name w:val="accompagnant_cp"/>
    <w:basedOn w:val="Normal"/>
    <w:rsid w:val="00713A91"/>
    <w:pPr>
      <w:spacing w:before="100" w:beforeAutospacing="1" w:after="100" w:afterAutospacing="1"/>
    </w:pPr>
    <w:rPr>
      <w:rFonts w:eastAsia="Times New Roman"/>
      <w:color w:val="auto"/>
      <w:kern w:val="0"/>
    </w:rPr>
  </w:style>
  <w:style w:type="paragraph" w:customStyle="1" w:styleId="typeacteprincipalcp">
    <w:name w:val="typeacteprincipal_cp"/>
    <w:basedOn w:val="Normal"/>
    <w:rsid w:val="00713A91"/>
    <w:pPr>
      <w:spacing w:before="100" w:beforeAutospacing="1" w:after="100" w:afterAutospacing="1"/>
    </w:pPr>
    <w:rPr>
      <w:rFonts w:eastAsia="Times New Roman"/>
      <w:color w:val="auto"/>
      <w:kern w:val="0"/>
    </w:rPr>
  </w:style>
  <w:style w:type="paragraph" w:customStyle="1" w:styleId="objetacteprincipalcp">
    <w:name w:val="objetacteprincipal_cp"/>
    <w:basedOn w:val="Normal"/>
    <w:rsid w:val="00713A91"/>
    <w:pPr>
      <w:spacing w:before="100" w:beforeAutospacing="1" w:after="100" w:afterAutospacing="1"/>
    </w:pPr>
    <w:rPr>
      <w:rFonts w:eastAsia="Times New Roman"/>
      <w:color w:val="auto"/>
      <w:kern w:val="0"/>
    </w:rPr>
  </w:style>
  <w:style w:type="paragraph" w:customStyle="1" w:styleId="basic-paragraph">
    <w:name w:val="basic-paragraph"/>
    <w:basedOn w:val="Normal"/>
    <w:rsid w:val="008166FB"/>
    <w:pPr>
      <w:spacing w:before="100" w:beforeAutospacing="1" w:after="100" w:afterAutospacing="1"/>
    </w:pPr>
    <w:rPr>
      <w:rFonts w:eastAsia="Times New Roman"/>
      <w:color w:val="auto"/>
      <w:kern w:val="0"/>
    </w:rPr>
  </w:style>
  <w:style w:type="character" w:customStyle="1" w:styleId="italik">
    <w:name w:val="italik"/>
    <w:basedOn w:val="DefaultParagraphFont"/>
    <w:rsid w:val="008166FB"/>
  </w:style>
  <w:style w:type="paragraph" w:customStyle="1" w:styleId="bold">
    <w:name w:val="bold"/>
    <w:basedOn w:val="Normal"/>
    <w:rsid w:val="008166FB"/>
    <w:pPr>
      <w:spacing w:before="100" w:beforeAutospacing="1" w:after="100" w:afterAutospacing="1"/>
    </w:pPr>
    <w:rPr>
      <w:rFonts w:eastAsia="Times New Roman"/>
      <w:color w:val="auto"/>
      <w:kern w:val="0"/>
    </w:rPr>
  </w:style>
  <w:style w:type="paragraph" w:customStyle="1" w:styleId="clan">
    <w:name w:val="clan"/>
    <w:basedOn w:val="Normal"/>
    <w:rsid w:val="008166FB"/>
    <w:pPr>
      <w:spacing w:before="100" w:beforeAutospacing="1" w:after="100" w:afterAutospacing="1"/>
    </w:pPr>
    <w:rPr>
      <w:rFonts w:eastAsia="Times New Roman"/>
      <w:color w:val="auto"/>
      <w:kern w:val="0"/>
    </w:rPr>
  </w:style>
  <w:style w:type="paragraph" w:customStyle="1" w:styleId="odluka-zakon">
    <w:name w:val="odluka-zakon"/>
    <w:basedOn w:val="Normal"/>
    <w:rsid w:val="008166FB"/>
    <w:pPr>
      <w:spacing w:before="100" w:beforeAutospacing="1" w:after="100" w:afterAutospacing="1"/>
    </w:pPr>
    <w:rPr>
      <w:rFonts w:eastAsia="Times New Roman"/>
      <w:color w:val="auto"/>
      <w:kern w:val="0"/>
    </w:rPr>
  </w:style>
  <w:style w:type="paragraph" w:customStyle="1" w:styleId="auto-style1">
    <w:name w:val="auto-style1"/>
    <w:basedOn w:val="Normal"/>
    <w:rsid w:val="008166FB"/>
    <w:pPr>
      <w:spacing w:before="100" w:beforeAutospacing="1" w:after="100" w:afterAutospacing="1"/>
    </w:pPr>
    <w:rPr>
      <w:rFonts w:eastAsia="Times New Roman"/>
      <w:color w:val="auto"/>
      <w:kern w:val="0"/>
    </w:rPr>
  </w:style>
  <w:style w:type="paragraph" w:customStyle="1" w:styleId="centar">
    <w:name w:val="centar"/>
    <w:basedOn w:val="Normal"/>
    <w:rsid w:val="00B77B19"/>
    <w:pPr>
      <w:spacing w:before="100" w:beforeAutospacing="1" w:after="100" w:afterAutospacing="1"/>
    </w:pPr>
    <w:rPr>
      <w:rFonts w:eastAsia="Times New Roman"/>
      <w:color w:val="auto"/>
      <w:kern w:val="0"/>
    </w:rPr>
  </w:style>
  <w:style w:type="paragraph" w:customStyle="1" w:styleId="Default">
    <w:name w:val="Default"/>
    <w:rsid w:val="006C3281"/>
    <w:pPr>
      <w:autoSpaceDE w:val="0"/>
      <w:autoSpaceDN w:val="0"/>
      <w:adjustRightInd w:val="0"/>
    </w:pPr>
    <w:rPr>
      <w:rFonts w:ascii="Arial" w:hAnsi="Arial" w:cs="Arial"/>
      <w:kern w:val="0"/>
    </w:rPr>
  </w:style>
  <w:style w:type="paragraph" w:styleId="ListParagraph">
    <w:name w:val="List Paragraph"/>
    <w:basedOn w:val="Normal"/>
    <w:link w:val="ListParagraphChar"/>
    <w:uiPriority w:val="34"/>
    <w:qFormat/>
    <w:rsid w:val="006C3281"/>
    <w:pPr>
      <w:ind w:left="720"/>
      <w:contextualSpacing/>
    </w:pPr>
  </w:style>
  <w:style w:type="table" w:styleId="TableGrid">
    <w:name w:val="Table Grid"/>
    <w:basedOn w:val="TableNormal"/>
    <w:uiPriority w:val="59"/>
    <w:rsid w:val="0088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TF-TEXTE1115">
    <w:name w:val="FATF-TEXTE 11/15"/>
    <w:link w:val="FATF-TEXTE1115Char"/>
    <w:qFormat/>
    <w:rsid w:val="0088138E"/>
    <w:pPr>
      <w:tabs>
        <w:tab w:val="left" w:pos="624"/>
        <w:tab w:val="left" w:pos="1247"/>
        <w:tab w:val="left" w:pos="1871"/>
        <w:tab w:val="left" w:pos="2495"/>
        <w:tab w:val="left" w:pos="3119"/>
      </w:tabs>
      <w:spacing w:after="120" w:line="300" w:lineRule="exact"/>
      <w:jc w:val="both"/>
    </w:pPr>
    <w:rPr>
      <w:rFonts w:ascii="Cambria" w:eastAsia="SimSun" w:hAnsi="Cambria"/>
      <w:color w:val="auto"/>
      <w:kern w:val="0"/>
      <w:sz w:val="22"/>
      <w:szCs w:val="22"/>
      <w:lang w:val="en-GB" w:eastAsia="zh-CN"/>
    </w:rPr>
  </w:style>
  <w:style w:type="character" w:customStyle="1" w:styleId="FATF-TEXTE1115Char">
    <w:name w:val="FATF-TEXTE 11/15 Char"/>
    <w:basedOn w:val="DefaultParagraphFont"/>
    <w:link w:val="FATF-TEXTE1115"/>
    <w:rsid w:val="0088138E"/>
    <w:rPr>
      <w:rFonts w:ascii="Cambria" w:eastAsia="SimSun" w:hAnsi="Cambria"/>
      <w:color w:val="auto"/>
      <w:kern w:val="0"/>
      <w:sz w:val="22"/>
      <w:szCs w:val="22"/>
      <w:lang w:val="en-GB" w:eastAsia="zh-CN"/>
    </w:rPr>
  </w:style>
  <w:style w:type="paragraph" w:styleId="BalloonText">
    <w:name w:val="Balloon Text"/>
    <w:basedOn w:val="Normal"/>
    <w:link w:val="BalloonTextChar"/>
    <w:uiPriority w:val="99"/>
    <w:semiHidden/>
    <w:unhideWhenUsed/>
    <w:rsid w:val="00A26580"/>
    <w:rPr>
      <w:rFonts w:ascii="Tahoma" w:hAnsi="Tahoma" w:cs="Tahoma"/>
      <w:sz w:val="16"/>
      <w:szCs w:val="16"/>
    </w:rPr>
  </w:style>
  <w:style w:type="character" w:customStyle="1" w:styleId="BalloonTextChar">
    <w:name w:val="Balloon Text Char"/>
    <w:basedOn w:val="DefaultParagraphFont"/>
    <w:link w:val="BalloonText"/>
    <w:uiPriority w:val="99"/>
    <w:semiHidden/>
    <w:rsid w:val="00A26580"/>
    <w:rPr>
      <w:rFonts w:ascii="Tahoma" w:hAnsi="Tahoma" w:cs="Tahoma"/>
      <w:sz w:val="16"/>
      <w:szCs w:val="16"/>
    </w:rPr>
  </w:style>
  <w:style w:type="character" w:customStyle="1" w:styleId="Heading2Char">
    <w:name w:val="Heading 2 Char"/>
    <w:basedOn w:val="DefaultParagraphFont"/>
    <w:link w:val="Heading2"/>
    <w:uiPriority w:val="9"/>
    <w:rsid w:val="00DD2BCE"/>
    <w:rPr>
      <w:rFonts w:eastAsia="Times New Roman"/>
      <w:b/>
      <w:bCs/>
      <w:color w:val="auto"/>
      <w:kern w:val="0"/>
      <w:szCs w:val="36"/>
    </w:rPr>
  </w:style>
  <w:style w:type="paragraph" w:styleId="PlainText">
    <w:name w:val="Plain Text"/>
    <w:basedOn w:val="Normal"/>
    <w:link w:val="PlainTextChar"/>
    <w:uiPriority w:val="99"/>
    <w:semiHidden/>
    <w:unhideWhenUsed/>
    <w:rsid w:val="000E3FF6"/>
    <w:rPr>
      <w:rFonts w:ascii="Consolas" w:eastAsia="Calibri" w:hAnsi="Consolas"/>
      <w:color w:val="auto"/>
      <w:kern w:val="0"/>
      <w:sz w:val="21"/>
      <w:szCs w:val="21"/>
    </w:rPr>
  </w:style>
  <w:style w:type="character" w:customStyle="1" w:styleId="PlainTextChar">
    <w:name w:val="Plain Text Char"/>
    <w:basedOn w:val="DefaultParagraphFont"/>
    <w:link w:val="PlainText"/>
    <w:uiPriority w:val="99"/>
    <w:semiHidden/>
    <w:rsid w:val="000E3FF6"/>
    <w:rPr>
      <w:rFonts w:ascii="Consolas" w:eastAsia="Calibri" w:hAnsi="Consolas"/>
      <w:color w:val="auto"/>
      <w:kern w:val="0"/>
      <w:sz w:val="21"/>
      <w:szCs w:val="21"/>
    </w:rPr>
  </w:style>
  <w:style w:type="paragraph" w:styleId="NormalWeb">
    <w:name w:val="Normal (Web)"/>
    <w:basedOn w:val="Normal"/>
    <w:uiPriority w:val="99"/>
    <w:semiHidden/>
    <w:unhideWhenUsed/>
    <w:rsid w:val="00F6467E"/>
    <w:pPr>
      <w:spacing w:before="100" w:beforeAutospacing="1" w:after="100" w:afterAutospacing="1"/>
    </w:pPr>
    <w:rPr>
      <w:rFonts w:eastAsia="Times New Roman"/>
      <w:color w:val="auto"/>
      <w:kern w:val="0"/>
    </w:rPr>
  </w:style>
  <w:style w:type="character" w:styleId="Strong">
    <w:name w:val="Strong"/>
    <w:basedOn w:val="DefaultParagraphFont"/>
    <w:uiPriority w:val="22"/>
    <w:qFormat/>
    <w:rsid w:val="00F6467E"/>
    <w:rPr>
      <w:b/>
      <w:bCs/>
    </w:rPr>
  </w:style>
  <w:style w:type="character" w:customStyle="1" w:styleId="Heading1Char">
    <w:name w:val="Heading 1 Char"/>
    <w:basedOn w:val="DefaultParagraphFont"/>
    <w:link w:val="Heading1"/>
    <w:uiPriority w:val="9"/>
    <w:rsid w:val="003C012B"/>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3C012B"/>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3C012B"/>
    <w:rPr>
      <w:color w:val="0000FF"/>
      <w:u w:val="single"/>
    </w:rPr>
  </w:style>
  <w:style w:type="paragraph" w:styleId="NoSpacing">
    <w:name w:val="No Spacing"/>
    <w:link w:val="NoSpacingChar"/>
    <w:uiPriority w:val="1"/>
    <w:qFormat/>
    <w:rsid w:val="00F36F80"/>
    <w:rPr>
      <w:rFonts w:asciiTheme="minorHAnsi" w:eastAsiaTheme="minorEastAsia" w:hAnsiTheme="minorHAnsi" w:cstheme="minorBidi"/>
      <w:color w:val="auto"/>
      <w:kern w:val="0"/>
      <w:sz w:val="22"/>
      <w:szCs w:val="22"/>
    </w:rPr>
  </w:style>
  <w:style w:type="character" w:customStyle="1" w:styleId="NoSpacingChar">
    <w:name w:val="No Spacing Char"/>
    <w:basedOn w:val="DefaultParagraphFont"/>
    <w:link w:val="NoSpacing"/>
    <w:uiPriority w:val="1"/>
    <w:rsid w:val="00F36F80"/>
    <w:rPr>
      <w:rFonts w:asciiTheme="minorHAnsi" w:eastAsiaTheme="minorEastAsia" w:hAnsiTheme="minorHAnsi" w:cstheme="minorBidi"/>
      <w:color w:val="auto"/>
      <w:kern w:val="0"/>
      <w:sz w:val="22"/>
      <w:szCs w:val="22"/>
    </w:rPr>
  </w:style>
  <w:style w:type="character" w:styleId="CommentReference">
    <w:name w:val="annotation reference"/>
    <w:basedOn w:val="DefaultParagraphFont"/>
    <w:uiPriority w:val="99"/>
    <w:semiHidden/>
    <w:unhideWhenUsed/>
    <w:rsid w:val="00BE1A2E"/>
    <w:rPr>
      <w:sz w:val="16"/>
      <w:szCs w:val="16"/>
    </w:rPr>
  </w:style>
  <w:style w:type="paragraph" w:styleId="CommentText">
    <w:name w:val="annotation text"/>
    <w:basedOn w:val="Normal"/>
    <w:link w:val="CommentTextChar"/>
    <w:uiPriority w:val="99"/>
    <w:unhideWhenUsed/>
    <w:rsid w:val="00BE1A2E"/>
    <w:rPr>
      <w:sz w:val="20"/>
      <w:szCs w:val="20"/>
    </w:rPr>
  </w:style>
  <w:style w:type="character" w:customStyle="1" w:styleId="CommentTextChar">
    <w:name w:val="Comment Text Char"/>
    <w:basedOn w:val="DefaultParagraphFont"/>
    <w:link w:val="CommentText"/>
    <w:uiPriority w:val="99"/>
    <w:rsid w:val="00BE1A2E"/>
    <w:rPr>
      <w:sz w:val="20"/>
      <w:szCs w:val="20"/>
    </w:rPr>
  </w:style>
  <w:style w:type="paragraph" w:styleId="CommentSubject">
    <w:name w:val="annotation subject"/>
    <w:basedOn w:val="CommentText"/>
    <w:next w:val="CommentText"/>
    <w:link w:val="CommentSubjectChar"/>
    <w:uiPriority w:val="99"/>
    <w:semiHidden/>
    <w:unhideWhenUsed/>
    <w:rsid w:val="00BE1A2E"/>
    <w:rPr>
      <w:b/>
      <w:bCs/>
    </w:rPr>
  </w:style>
  <w:style w:type="character" w:customStyle="1" w:styleId="CommentSubjectChar">
    <w:name w:val="Comment Subject Char"/>
    <w:basedOn w:val="CommentTextChar"/>
    <w:link w:val="CommentSubject"/>
    <w:uiPriority w:val="99"/>
    <w:semiHidden/>
    <w:rsid w:val="00BE1A2E"/>
    <w:rPr>
      <w:b/>
      <w:bCs/>
      <w:sz w:val="20"/>
      <w:szCs w:val="20"/>
    </w:rPr>
  </w:style>
  <w:style w:type="character" w:customStyle="1" w:styleId="ListParagraphChar">
    <w:name w:val="List Paragraph Char"/>
    <w:link w:val="ListParagraph"/>
    <w:uiPriority w:val="34"/>
    <w:locked/>
    <w:rsid w:val="002632C2"/>
  </w:style>
  <w:style w:type="character" w:styleId="PageNumber">
    <w:name w:val="page number"/>
    <w:basedOn w:val="DefaultParagraphFont"/>
    <w:uiPriority w:val="99"/>
    <w:semiHidden/>
    <w:unhideWhenUsed/>
    <w:rsid w:val="00A70FDA"/>
  </w:style>
  <w:style w:type="paragraph" w:styleId="TOCHeading">
    <w:name w:val="TOC Heading"/>
    <w:basedOn w:val="Heading1"/>
    <w:next w:val="Normal"/>
    <w:uiPriority w:val="39"/>
    <w:semiHidden/>
    <w:unhideWhenUsed/>
    <w:qFormat/>
    <w:rsid w:val="00A70FDA"/>
    <w:pPr>
      <w:spacing w:line="276" w:lineRule="auto"/>
      <w:outlineLvl w:val="9"/>
    </w:pPr>
    <w:rPr>
      <w:kern w:val="0"/>
    </w:rPr>
  </w:style>
  <w:style w:type="paragraph" w:styleId="TOC1">
    <w:name w:val="toc 1"/>
    <w:basedOn w:val="Normal"/>
    <w:next w:val="Normal"/>
    <w:autoRedefine/>
    <w:uiPriority w:val="39"/>
    <w:unhideWhenUsed/>
    <w:rsid w:val="00A70FDA"/>
    <w:pPr>
      <w:spacing w:after="100"/>
    </w:pPr>
  </w:style>
  <w:style w:type="character" w:customStyle="1" w:styleId="il">
    <w:name w:val="il"/>
    <w:basedOn w:val="DefaultParagraphFont"/>
    <w:rsid w:val="00E04390"/>
  </w:style>
  <w:style w:type="character" w:customStyle="1" w:styleId="v2-clan-left-1">
    <w:name w:val="v2-clan-left-1"/>
    <w:basedOn w:val="DefaultParagraphFont"/>
    <w:rsid w:val="00DA75CF"/>
  </w:style>
  <w:style w:type="paragraph" w:customStyle="1" w:styleId="potpis">
    <w:name w:val="potpis"/>
    <w:basedOn w:val="Normal"/>
    <w:rsid w:val="00DA75CF"/>
    <w:pPr>
      <w:spacing w:before="100" w:beforeAutospacing="1" w:after="100" w:afterAutospacing="1"/>
    </w:pPr>
    <w:rPr>
      <w:rFonts w:eastAsia="Times New Roman"/>
      <w:color w:val="auto"/>
      <w:kern w:val="0"/>
      <w:lang w:val="en-GB" w:eastAsia="en-GB"/>
    </w:rPr>
  </w:style>
  <w:style w:type="character" w:customStyle="1" w:styleId="st">
    <w:name w:val="st"/>
    <w:basedOn w:val="DefaultParagraphFont"/>
    <w:rsid w:val="0004492D"/>
  </w:style>
  <w:style w:type="paragraph" w:styleId="Header">
    <w:name w:val="header"/>
    <w:basedOn w:val="Normal"/>
    <w:link w:val="HeaderChar"/>
    <w:uiPriority w:val="99"/>
    <w:unhideWhenUsed/>
    <w:rsid w:val="006B456A"/>
    <w:pPr>
      <w:tabs>
        <w:tab w:val="center" w:pos="4513"/>
        <w:tab w:val="right" w:pos="9026"/>
      </w:tabs>
    </w:pPr>
  </w:style>
  <w:style w:type="character" w:customStyle="1" w:styleId="HeaderChar">
    <w:name w:val="Header Char"/>
    <w:basedOn w:val="DefaultParagraphFont"/>
    <w:link w:val="Header"/>
    <w:uiPriority w:val="99"/>
    <w:rsid w:val="006B456A"/>
  </w:style>
  <w:style w:type="paragraph" w:styleId="Footer">
    <w:name w:val="footer"/>
    <w:basedOn w:val="Normal"/>
    <w:link w:val="FooterChar"/>
    <w:uiPriority w:val="99"/>
    <w:unhideWhenUsed/>
    <w:rsid w:val="006B456A"/>
    <w:pPr>
      <w:tabs>
        <w:tab w:val="center" w:pos="4513"/>
        <w:tab w:val="right" w:pos="9026"/>
      </w:tabs>
    </w:pPr>
  </w:style>
  <w:style w:type="character" w:customStyle="1" w:styleId="FooterChar">
    <w:name w:val="Footer Char"/>
    <w:basedOn w:val="DefaultParagraphFont"/>
    <w:link w:val="Footer"/>
    <w:uiPriority w:val="99"/>
    <w:rsid w:val="006B456A"/>
  </w:style>
  <w:style w:type="paragraph" w:styleId="Revision">
    <w:name w:val="Revision"/>
    <w:hidden/>
    <w:uiPriority w:val="99"/>
    <w:semiHidden/>
    <w:rsid w:val="00F43ECD"/>
    <w:rPr>
      <w:rFonts w:asciiTheme="minorHAnsi" w:hAnsiTheme="minorHAnsi" w:cstheme="minorBidi"/>
      <w:color w:val="auto"/>
      <w:kern w:val="0"/>
      <w:sz w:val="22"/>
      <w:szCs w:val="22"/>
    </w:rPr>
  </w:style>
  <w:style w:type="character" w:customStyle="1" w:styleId="highlight">
    <w:name w:val="highlight"/>
    <w:basedOn w:val="DefaultParagraphFont"/>
    <w:rsid w:val="00F43ECD"/>
  </w:style>
  <w:style w:type="character" w:customStyle="1" w:styleId="naslovpropisa1">
    <w:name w:val="naslovpropisa1"/>
    <w:basedOn w:val="DefaultParagraphFont"/>
    <w:rsid w:val="00182940"/>
  </w:style>
  <w:style w:type="character" w:customStyle="1" w:styleId="naslovpropisa1a">
    <w:name w:val="naslovpropisa1a"/>
    <w:basedOn w:val="DefaultParagraphFont"/>
    <w:rsid w:val="00182940"/>
  </w:style>
  <w:style w:type="paragraph" w:customStyle="1" w:styleId="podnaslovpropisa">
    <w:name w:val="podnaslovpropisa"/>
    <w:basedOn w:val="Normal"/>
    <w:rsid w:val="00182940"/>
    <w:pPr>
      <w:spacing w:before="100" w:beforeAutospacing="1" w:after="100" w:afterAutospacing="1"/>
    </w:pPr>
    <w:rPr>
      <w:rFonts w:eastAsia="Times New Roman"/>
      <w:color w:val="auto"/>
      <w:kern w:val="0"/>
    </w:rPr>
  </w:style>
  <w:style w:type="table" w:styleId="MediumGrid3-Accent1">
    <w:name w:val="Medium Grid 3 Accent 1"/>
    <w:basedOn w:val="TableNormal"/>
    <w:uiPriority w:val="69"/>
    <w:rsid w:val="00A149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rsid w:val="00972C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Heading3Char">
    <w:name w:val="Heading 3 Char"/>
    <w:basedOn w:val="DefaultParagraphFont"/>
    <w:link w:val="Heading3"/>
    <w:uiPriority w:val="9"/>
    <w:rsid w:val="00DD2BCE"/>
    <w:rPr>
      <w:rFonts w:eastAsiaTheme="majorEastAsia" w:cstheme="majorBidi"/>
      <w:b/>
      <w:bCs/>
      <w:color w:val="auto"/>
      <w:sz w:val="20"/>
    </w:rPr>
  </w:style>
  <w:style w:type="paragraph" w:styleId="TOC2">
    <w:name w:val="toc 2"/>
    <w:basedOn w:val="Normal"/>
    <w:next w:val="Normal"/>
    <w:autoRedefine/>
    <w:uiPriority w:val="39"/>
    <w:unhideWhenUsed/>
    <w:rsid w:val="009E02C0"/>
    <w:pPr>
      <w:spacing w:after="100"/>
      <w:ind w:left="240"/>
    </w:pPr>
  </w:style>
  <w:style w:type="paragraph" w:styleId="TOC3">
    <w:name w:val="toc 3"/>
    <w:basedOn w:val="Normal"/>
    <w:next w:val="Normal"/>
    <w:autoRedefine/>
    <w:uiPriority w:val="39"/>
    <w:unhideWhenUsed/>
    <w:rsid w:val="009E02C0"/>
    <w:pPr>
      <w:spacing w:after="100"/>
      <w:ind w:left="480"/>
    </w:pPr>
  </w:style>
</w:styles>
</file>

<file path=word/webSettings.xml><?xml version="1.0" encoding="utf-8"?>
<w:webSettings xmlns:r="http://schemas.openxmlformats.org/officeDocument/2006/relationships" xmlns:w="http://schemas.openxmlformats.org/wordprocessingml/2006/main">
  <w:divs>
    <w:div w:id="2981438">
      <w:bodyDiv w:val="1"/>
      <w:marLeft w:val="0"/>
      <w:marRight w:val="0"/>
      <w:marTop w:val="0"/>
      <w:marBottom w:val="0"/>
      <w:divBdr>
        <w:top w:val="none" w:sz="0" w:space="0" w:color="auto"/>
        <w:left w:val="none" w:sz="0" w:space="0" w:color="auto"/>
        <w:bottom w:val="none" w:sz="0" w:space="0" w:color="auto"/>
        <w:right w:val="none" w:sz="0" w:space="0" w:color="auto"/>
      </w:divBdr>
    </w:div>
    <w:div w:id="27922886">
      <w:bodyDiv w:val="1"/>
      <w:marLeft w:val="0"/>
      <w:marRight w:val="0"/>
      <w:marTop w:val="0"/>
      <w:marBottom w:val="0"/>
      <w:divBdr>
        <w:top w:val="none" w:sz="0" w:space="0" w:color="auto"/>
        <w:left w:val="none" w:sz="0" w:space="0" w:color="auto"/>
        <w:bottom w:val="none" w:sz="0" w:space="0" w:color="auto"/>
        <w:right w:val="none" w:sz="0" w:space="0" w:color="auto"/>
      </w:divBdr>
    </w:div>
    <w:div w:id="46490595">
      <w:bodyDiv w:val="1"/>
      <w:marLeft w:val="0"/>
      <w:marRight w:val="0"/>
      <w:marTop w:val="0"/>
      <w:marBottom w:val="0"/>
      <w:divBdr>
        <w:top w:val="none" w:sz="0" w:space="0" w:color="auto"/>
        <w:left w:val="none" w:sz="0" w:space="0" w:color="auto"/>
        <w:bottom w:val="none" w:sz="0" w:space="0" w:color="auto"/>
        <w:right w:val="none" w:sz="0" w:space="0" w:color="auto"/>
      </w:divBdr>
    </w:div>
    <w:div w:id="90056689">
      <w:bodyDiv w:val="1"/>
      <w:marLeft w:val="0"/>
      <w:marRight w:val="0"/>
      <w:marTop w:val="0"/>
      <w:marBottom w:val="0"/>
      <w:divBdr>
        <w:top w:val="none" w:sz="0" w:space="0" w:color="auto"/>
        <w:left w:val="none" w:sz="0" w:space="0" w:color="auto"/>
        <w:bottom w:val="none" w:sz="0" w:space="0" w:color="auto"/>
        <w:right w:val="none" w:sz="0" w:space="0" w:color="auto"/>
      </w:divBdr>
    </w:div>
    <w:div w:id="94524125">
      <w:bodyDiv w:val="1"/>
      <w:marLeft w:val="0"/>
      <w:marRight w:val="0"/>
      <w:marTop w:val="0"/>
      <w:marBottom w:val="0"/>
      <w:divBdr>
        <w:top w:val="none" w:sz="0" w:space="0" w:color="auto"/>
        <w:left w:val="none" w:sz="0" w:space="0" w:color="auto"/>
        <w:bottom w:val="none" w:sz="0" w:space="0" w:color="auto"/>
        <w:right w:val="none" w:sz="0" w:space="0" w:color="auto"/>
      </w:divBdr>
    </w:div>
    <w:div w:id="108090755">
      <w:bodyDiv w:val="1"/>
      <w:marLeft w:val="0"/>
      <w:marRight w:val="0"/>
      <w:marTop w:val="0"/>
      <w:marBottom w:val="0"/>
      <w:divBdr>
        <w:top w:val="none" w:sz="0" w:space="0" w:color="auto"/>
        <w:left w:val="none" w:sz="0" w:space="0" w:color="auto"/>
        <w:bottom w:val="none" w:sz="0" w:space="0" w:color="auto"/>
        <w:right w:val="none" w:sz="0" w:space="0" w:color="auto"/>
      </w:divBdr>
    </w:div>
    <w:div w:id="160239242">
      <w:bodyDiv w:val="1"/>
      <w:marLeft w:val="0"/>
      <w:marRight w:val="0"/>
      <w:marTop w:val="0"/>
      <w:marBottom w:val="0"/>
      <w:divBdr>
        <w:top w:val="none" w:sz="0" w:space="0" w:color="auto"/>
        <w:left w:val="none" w:sz="0" w:space="0" w:color="auto"/>
        <w:bottom w:val="none" w:sz="0" w:space="0" w:color="auto"/>
        <w:right w:val="none" w:sz="0" w:space="0" w:color="auto"/>
      </w:divBdr>
    </w:div>
    <w:div w:id="184363662">
      <w:bodyDiv w:val="1"/>
      <w:marLeft w:val="0"/>
      <w:marRight w:val="0"/>
      <w:marTop w:val="0"/>
      <w:marBottom w:val="0"/>
      <w:divBdr>
        <w:top w:val="none" w:sz="0" w:space="0" w:color="auto"/>
        <w:left w:val="none" w:sz="0" w:space="0" w:color="auto"/>
        <w:bottom w:val="none" w:sz="0" w:space="0" w:color="auto"/>
        <w:right w:val="none" w:sz="0" w:space="0" w:color="auto"/>
      </w:divBdr>
    </w:div>
    <w:div w:id="211618245">
      <w:bodyDiv w:val="1"/>
      <w:marLeft w:val="0"/>
      <w:marRight w:val="0"/>
      <w:marTop w:val="0"/>
      <w:marBottom w:val="0"/>
      <w:divBdr>
        <w:top w:val="none" w:sz="0" w:space="0" w:color="auto"/>
        <w:left w:val="none" w:sz="0" w:space="0" w:color="auto"/>
        <w:bottom w:val="none" w:sz="0" w:space="0" w:color="auto"/>
        <w:right w:val="none" w:sz="0" w:space="0" w:color="auto"/>
      </w:divBdr>
    </w:div>
    <w:div w:id="232742996">
      <w:bodyDiv w:val="1"/>
      <w:marLeft w:val="0"/>
      <w:marRight w:val="0"/>
      <w:marTop w:val="0"/>
      <w:marBottom w:val="0"/>
      <w:divBdr>
        <w:top w:val="none" w:sz="0" w:space="0" w:color="auto"/>
        <w:left w:val="none" w:sz="0" w:space="0" w:color="auto"/>
        <w:bottom w:val="none" w:sz="0" w:space="0" w:color="auto"/>
        <w:right w:val="none" w:sz="0" w:space="0" w:color="auto"/>
      </w:divBdr>
    </w:div>
    <w:div w:id="326179598">
      <w:bodyDiv w:val="1"/>
      <w:marLeft w:val="0"/>
      <w:marRight w:val="0"/>
      <w:marTop w:val="0"/>
      <w:marBottom w:val="0"/>
      <w:divBdr>
        <w:top w:val="none" w:sz="0" w:space="0" w:color="auto"/>
        <w:left w:val="none" w:sz="0" w:space="0" w:color="auto"/>
        <w:bottom w:val="none" w:sz="0" w:space="0" w:color="auto"/>
        <w:right w:val="none" w:sz="0" w:space="0" w:color="auto"/>
      </w:divBdr>
      <w:divsChild>
        <w:div w:id="1260405163">
          <w:marLeft w:val="0"/>
          <w:marRight w:val="0"/>
          <w:marTop w:val="0"/>
          <w:marBottom w:val="0"/>
          <w:divBdr>
            <w:top w:val="none" w:sz="0" w:space="0" w:color="auto"/>
            <w:left w:val="none" w:sz="0" w:space="0" w:color="auto"/>
            <w:bottom w:val="none" w:sz="0" w:space="0" w:color="auto"/>
            <w:right w:val="none" w:sz="0" w:space="0" w:color="auto"/>
          </w:divBdr>
        </w:div>
        <w:div w:id="1429741372">
          <w:marLeft w:val="0"/>
          <w:marRight w:val="0"/>
          <w:marTop w:val="0"/>
          <w:marBottom w:val="0"/>
          <w:divBdr>
            <w:top w:val="none" w:sz="0" w:space="0" w:color="auto"/>
            <w:left w:val="none" w:sz="0" w:space="0" w:color="auto"/>
            <w:bottom w:val="none" w:sz="0" w:space="0" w:color="auto"/>
            <w:right w:val="none" w:sz="0" w:space="0" w:color="auto"/>
          </w:divBdr>
        </w:div>
        <w:div w:id="1629778772">
          <w:marLeft w:val="0"/>
          <w:marRight w:val="0"/>
          <w:marTop w:val="0"/>
          <w:marBottom w:val="0"/>
          <w:divBdr>
            <w:top w:val="none" w:sz="0" w:space="0" w:color="auto"/>
            <w:left w:val="none" w:sz="0" w:space="0" w:color="auto"/>
            <w:bottom w:val="none" w:sz="0" w:space="0" w:color="auto"/>
            <w:right w:val="none" w:sz="0" w:space="0" w:color="auto"/>
          </w:divBdr>
        </w:div>
      </w:divsChild>
    </w:div>
    <w:div w:id="336004885">
      <w:bodyDiv w:val="1"/>
      <w:marLeft w:val="0"/>
      <w:marRight w:val="0"/>
      <w:marTop w:val="0"/>
      <w:marBottom w:val="0"/>
      <w:divBdr>
        <w:top w:val="none" w:sz="0" w:space="0" w:color="auto"/>
        <w:left w:val="none" w:sz="0" w:space="0" w:color="auto"/>
        <w:bottom w:val="none" w:sz="0" w:space="0" w:color="auto"/>
        <w:right w:val="none" w:sz="0" w:space="0" w:color="auto"/>
      </w:divBdr>
    </w:div>
    <w:div w:id="457727508">
      <w:bodyDiv w:val="1"/>
      <w:marLeft w:val="0"/>
      <w:marRight w:val="0"/>
      <w:marTop w:val="0"/>
      <w:marBottom w:val="0"/>
      <w:divBdr>
        <w:top w:val="none" w:sz="0" w:space="0" w:color="auto"/>
        <w:left w:val="none" w:sz="0" w:space="0" w:color="auto"/>
        <w:bottom w:val="none" w:sz="0" w:space="0" w:color="auto"/>
        <w:right w:val="none" w:sz="0" w:space="0" w:color="auto"/>
      </w:divBdr>
    </w:div>
    <w:div w:id="480149249">
      <w:bodyDiv w:val="1"/>
      <w:marLeft w:val="0"/>
      <w:marRight w:val="0"/>
      <w:marTop w:val="0"/>
      <w:marBottom w:val="0"/>
      <w:divBdr>
        <w:top w:val="none" w:sz="0" w:space="0" w:color="auto"/>
        <w:left w:val="none" w:sz="0" w:space="0" w:color="auto"/>
        <w:bottom w:val="none" w:sz="0" w:space="0" w:color="auto"/>
        <w:right w:val="none" w:sz="0" w:space="0" w:color="auto"/>
      </w:divBdr>
    </w:div>
    <w:div w:id="509416441">
      <w:bodyDiv w:val="1"/>
      <w:marLeft w:val="0"/>
      <w:marRight w:val="0"/>
      <w:marTop w:val="0"/>
      <w:marBottom w:val="0"/>
      <w:divBdr>
        <w:top w:val="none" w:sz="0" w:space="0" w:color="auto"/>
        <w:left w:val="none" w:sz="0" w:space="0" w:color="auto"/>
        <w:bottom w:val="none" w:sz="0" w:space="0" w:color="auto"/>
        <w:right w:val="none" w:sz="0" w:space="0" w:color="auto"/>
      </w:divBdr>
    </w:div>
    <w:div w:id="518160091">
      <w:bodyDiv w:val="1"/>
      <w:marLeft w:val="0"/>
      <w:marRight w:val="0"/>
      <w:marTop w:val="0"/>
      <w:marBottom w:val="0"/>
      <w:divBdr>
        <w:top w:val="none" w:sz="0" w:space="0" w:color="auto"/>
        <w:left w:val="none" w:sz="0" w:space="0" w:color="auto"/>
        <w:bottom w:val="none" w:sz="0" w:space="0" w:color="auto"/>
        <w:right w:val="none" w:sz="0" w:space="0" w:color="auto"/>
      </w:divBdr>
    </w:div>
    <w:div w:id="534196065">
      <w:bodyDiv w:val="1"/>
      <w:marLeft w:val="0"/>
      <w:marRight w:val="0"/>
      <w:marTop w:val="0"/>
      <w:marBottom w:val="0"/>
      <w:divBdr>
        <w:top w:val="none" w:sz="0" w:space="0" w:color="auto"/>
        <w:left w:val="none" w:sz="0" w:space="0" w:color="auto"/>
        <w:bottom w:val="none" w:sz="0" w:space="0" w:color="auto"/>
        <w:right w:val="none" w:sz="0" w:space="0" w:color="auto"/>
      </w:divBdr>
    </w:div>
    <w:div w:id="548419528">
      <w:bodyDiv w:val="1"/>
      <w:marLeft w:val="0"/>
      <w:marRight w:val="0"/>
      <w:marTop w:val="0"/>
      <w:marBottom w:val="0"/>
      <w:divBdr>
        <w:top w:val="none" w:sz="0" w:space="0" w:color="auto"/>
        <w:left w:val="none" w:sz="0" w:space="0" w:color="auto"/>
        <w:bottom w:val="none" w:sz="0" w:space="0" w:color="auto"/>
        <w:right w:val="none" w:sz="0" w:space="0" w:color="auto"/>
      </w:divBdr>
    </w:div>
    <w:div w:id="643462402">
      <w:bodyDiv w:val="1"/>
      <w:marLeft w:val="0"/>
      <w:marRight w:val="0"/>
      <w:marTop w:val="0"/>
      <w:marBottom w:val="0"/>
      <w:divBdr>
        <w:top w:val="none" w:sz="0" w:space="0" w:color="auto"/>
        <w:left w:val="none" w:sz="0" w:space="0" w:color="auto"/>
        <w:bottom w:val="none" w:sz="0" w:space="0" w:color="auto"/>
        <w:right w:val="none" w:sz="0" w:space="0" w:color="auto"/>
      </w:divBdr>
    </w:div>
    <w:div w:id="662701551">
      <w:bodyDiv w:val="1"/>
      <w:marLeft w:val="0"/>
      <w:marRight w:val="0"/>
      <w:marTop w:val="0"/>
      <w:marBottom w:val="0"/>
      <w:divBdr>
        <w:top w:val="none" w:sz="0" w:space="0" w:color="auto"/>
        <w:left w:val="none" w:sz="0" w:space="0" w:color="auto"/>
        <w:bottom w:val="none" w:sz="0" w:space="0" w:color="auto"/>
        <w:right w:val="none" w:sz="0" w:space="0" w:color="auto"/>
      </w:divBdr>
    </w:div>
    <w:div w:id="691879939">
      <w:bodyDiv w:val="1"/>
      <w:marLeft w:val="0"/>
      <w:marRight w:val="0"/>
      <w:marTop w:val="0"/>
      <w:marBottom w:val="0"/>
      <w:divBdr>
        <w:top w:val="none" w:sz="0" w:space="0" w:color="auto"/>
        <w:left w:val="none" w:sz="0" w:space="0" w:color="auto"/>
        <w:bottom w:val="none" w:sz="0" w:space="0" w:color="auto"/>
        <w:right w:val="none" w:sz="0" w:space="0" w:color="auto"/>
      </w:divBdr>
    </w:div>
    <w:div w:id="761950779">
      <w:bodyDiv w:val="1"/>
      <w:marLeft w:val="0"/>
      <w:marRight w:val="0"/>
      <w:marTop w:val="0"/>
      <w:marBottom w:val="0"/>
      <w:divBdr>
        <w:top w:val="none" w:sz="0" w:space="0" w:color="auto"/>
        <w:left w:val="none" w:sz="0" w:space="0" w:color="auto"/>
        <w:bottom w:val="none" w:sz="0" w:space="0" w:color="auto"/>
        <w:right w:val="none" w:sz="0" w:space="0" w:color="auto"/>
      </w:divBdr>
    </w:div>
    <w:div w:id="762992439">
      <w:bodyDiv w:val="1"/>
      <w:marLeft w:val="0"/>
      <w:marRight w:val="0"/>
      <w:marTop w:val="0"/>
      <w:marBottom w:val="0"/>
      <w:divBdr>
        <w:top w:val="none" w:sz="0" w:space="0" w:color="auto"/>
        <w:left w:val="none" w:sz="0" w:space="0" w:color="auto"/>
        <w:bottom w:val="none" w:sz="0" w:space="0" w:color="auto"/>
        <w:right w:val="none" w:sz="0" w:space="0" w:color="auto"/>
      </w:divBdr>
    </w:div>
    <w:div w:id="784614961">
      <w:bodyDiv w:val="1"/>
      <w:marLeft w:val="0"/>
      <w:marRight w:val="0"/>
      <w:marTop w:val="0"/>
      <w:marBottom w:val="0"/>
      <w:divBdr>
        <w:top w:val="none" w:sz="0" w:space="0" w:color="auto"/>
        <w:left w:val="none" w:sz="0" w:space="0" w:color="auto"/>
        <w:bottom w:val="none" w:sz="0" w:space="0" w:color="auto"/>
        <w:right w:val="none" w:sz="0" w:space="0" w:color="auto"/>
      </w:divBdr>
    </w:div>
    <w:div w:id="820195936">
      <w:bodyDiv w:val="1"/>
      <w:marLeft w:val="0"/>
      <w:marRight w:val="0"/>
      <w:marTop w:val="0"/>
      <w:marBottom w:val="0"/>
      <w:divBdr>
        <w:top w:val="none" w:sz="0" w:space="0" w:color="auto"/>
        <w:left w:val="none" w:sz="0" w:space="0" w:color="auto"/>
        <w:bottom w:val="none" w:sz="0" w:space="0" w:color="auto"/>
        <w:right w:val="none" w:sz="0" w:space="0" w:color="auto"/>
      </w:divBdr>
    </w:div>
    <w:div w:id="956763380">
      <w:bodyDiv w:val="1"/>
      <w:marLeft w:val="0"/>
      <w:marRight w:val="0"/>
      <w:marTop w:val="0"/>
      <w:marBottom w:val="0"/>
      <w:divBdr>
        <w:top w:val="none" w:sz="0" w:space="0" w:color="auto"/>
        <w:left w:val="none" w:sz="0" w:space="0" w:color="auto"/>
        <w:bottom w:val="none" w:sz="0" w:space="0" w:color="auto"/>
        <w:right w:val="none" w:sz="0" w:space="0" w:color="auto"/>
      </w:divBdr>
    </w:div>
    <w:div w:id="980428902">
      <w:bodyDiv w:val="1"/>
      <w:marLeft w:val="0"/>
      <w:marRight w:val="0"/>
      <w:marTop w:val="0"/>
      <w:marBottom w:val="0"/>
      <w:divBdr>
        <w:top w:val="none" w:sz="0" w:space="0" w:color="auto"/>
        <w:left w:val="none" w:sz="0" w:space="0" w:color="auto"/>
        <w:bottom w:val="none" w:sz="0" w:space="0" w:color="auto"/>
        <w:right w:val="none" w:sz="0" w:space="0" w:color="auto"/>
      </w:divBdr>
    </w:div>
    <w:div w:id="1045375338">
      <w:bodyDiv w:val="1"/>
      <w:marLeft w:val="0"/>
      <w:marRight w:val="0"/>
      <w:marTop w:val="0"/>
      <w:marBottom w:val="0"/>
      <w:divBdr>
        <w:top w:val="none" w:sz="0" w:space="0" w:color="auto"/>
        <w:left w:val="none" w:sz="0" w:space="0" w:color="auto"/>
        <w:bottom w:val="none" w:sz="0" w:space="0" w:color="auto"/>
        <w:right w:val="none" w:sz="0" w:space="0" w:color="auto"/>
      </w:divBdr>
    </w:div>
    <w:div w:id="1088699376">
      <w:bodyDiv w:val="1"/>
      <w:marLeft w:val="0"/>
      <w:marRight w:val="0"/>
      <w:marTop w:val="0"/>
      <w:marBottom w:val="0"/>
      <w:divBdr>
        <w:top w:val="none" w:sz="0" w:space="0" w:color="auto"/>
        <w:left w:val="none" w:sz="0" w:space="0" w:color="auto"/>
        <w:bottom w:val="none" w:sz="0" w:space="0" w:color="auto"/>
        <w:right w:val="none" w:sz="0" w:space="0" w:color="auto"/>
      </w:divBdr>
    </w:div>
    <w:div w:id="1105886284">
      <w:bodyDiv w:val="1"/>
      <w:marLeft w:val="0"/>
      <w:marRight w:val="0"/>
      <w:marTop w:val="0"/>
      <w:marBottom w:val="0"/>
      <w:divBdr>
        <w:top w:val="none" w:sz="0" w:space="0" w:color="auto"/>
        <w:left w:val="none" w:sz="0" w:space="0" w:color="auto"/>
        <w:bottom w:val="none" w:sz="0" w:space="0" w:color="auto"/>
        <w:right w:val="none" w:sz="0" w:space="0" w:color="auto"/>
      </w:divBdr>
    </w:div>
    <w:div w:id="1108041421">
      <w:bodyDiv w:val="1"/>
      <w:marLeft w:val="0"/>
      <w:marRight w:val="0"/>
      <w:marTop w:val="0"/>
      <w:marBottom w:val="0"/>
      <w:divBdr>
        <w:top w:val="none" w:sz="0" w:space="0" w:color="auto"/>
        <w:left w:val="none" w:sz="0" w:space="0" w:color="auto"/>
        <w:bottom w:val="none" w:sz="0" w:space="0" w:color="auto"/>
        <w:right w:val="none" w:sz="0" w:space="0" w:color="auto"/>
      </w:divBdr>
    </w:div>
    <w:div w:id="1112241819">
      <w:bodyDiv w:val="1"/>
      <w:marLeft w:val="0"/>
      <w:marRight w:val="0"/>
      <w:marTop w:val="0"/>
      <w:marBottom w:val="0"/>
      <w:divBdr>
        <w:top w:val="none" w:sz="0" w:space="0" w:color="auto"/>
        <w:left w:val="none" w:sz="0" w:space="0" w:color="auto"/>
        <w:bottom w:val="none" w:sz="0" w:space="0" w:color="auto"/>
        <w:right w:val="none" w:sz="0" w:space="0" w:color="auto"/>
      </w:divBdr>
    </w:div>
    <w:div w:id="1138108017">
      <w:bodyDiv w:val="1"/>
      <w:marLeft w:val="0"/>
      <w:marRight w:val="0"/>
      <w:marTop w:val="0"/>
      <w:marBottom w:val="0"/>
      <w:divBdr>
        <w:top w:val="none" w:sz="0" w:space="0" w:color="auto"/>
        <w:left w:val="none" w:sz="0" w:space="0" w:color="auto"/>
        <w:bottom w:val="none" w:sz="0" w:space="0" w:color="auto"/>
        <w:right w:val="none" w:sz="0" w:space="0" w:color="auto"/>
      </w:divBdr>
    </w:div>
    <w:div w:id="1141769319">
      <w:bodyDiv w:val="1"/>
      <w:marLeft w:val="0"/>
      <w:marRight w:val="0"/>
      <w:marTop w:val="0"/>
      <w:marBottom w:val="0"/>
      <w:divBdr>
        <w:top w:val="none" w:sz="0" w:space="0" w:color="auto"/>
        <w:left w:val="none" w:sz="0" w:space="0" w:color="auto"/>
        <w:bottom w:val="none" w:sz="0" w:space="0" w:color="auto"/>
        <w:right w:val="none" w:sz="0" w:space="0" w:color="auto"/>
      </w:divBdr>
    </w:div>
    <w:div w:id="1158688394">
      <w:bodyDiv w:val="1"/>
      <w:marLeft w:val="0"/>
      <w:marRight w:val="0"/>
      <w:marTop w:val="0"/>
      <w:marBottom w:val="0"/>
      <w:divBdr>
        <w:top w:val="none" w:sz="0" w:space="0" w:color="auto"/>
        <w:left w:val="none" w:sz="0" w:space="0" w:color="auto"/>
        <w:bottom w:val="none" w:sz="0" w:space="0" w:color="auto"/>
        <w:right w:val="none" w:sz="0" w:space="0" w:color="auto"/>
      </w:divBdr>
    </w:div>
    <w:div w:id="1163936503">
      <w:bodyDiv w:val="1"/>
      <w:marLeft w:val="0"/>
      <w:marRight w:val="0"/>
      <w:marTop w:val="0"/>
      <w:marBottom w:val="0"/>
      <w:divBdr>
        <w:top w:val="none" w:sz="0" w:space="0" w:color="auto"/>
        <w:left w:val="none" w:sz="0" w:space="0" w:color="auto"/>
        <w:bottom w:val="none" w:sz="0" w:space="0" w:color="auto"/>
        <w:right w:val="none" w:sz="0" w:space="0" w:color="auto"/>
      </w:divBdr>
    </w:div>
    <w:div w:id="1202744443">
      <w:bodyDiv w:val="1"/>
      <w:marLeft w:val="0"/>
      <w:marRight w:val="0"/>
      <w:marTop w:val="0"/>
      <w:marBottom w:val="0"/>
      <w:divBdr>
        <w:top w:val="none" w:sz="0" w:space="0" w:color="auto"/>
        <w:left w:val="none" w:sz="0" w:space="0" w:color="auto"/>
        <w:bottom w:val="none" w:sz="0" w:space="0" w:color="auto"/>
        <w:right w:val="none" w:sz="0" w:space="0" w:color="auto"/>
      </w:divBdr>
    </w:div>
    <w:div w:id="1209337508">
      <w:bodyDiv w:val="1"/>
      <w:marLeft w:val="0"/>
      <w:marRight w:val="0"/>
      <w:marTop w:val="0"/>
      <w:marBottom w:val="0"/>
      <w:divBdr>
        <w:top w:val="none" w:sz="0" w:space="0" w:color="auto"/>
        <w:left w:val="none" w:sz="0" w:space="0" w:color="auto"/>
        <w:bottom w:val="none" w:sz="0" w:space="0" w:color="auto"/>
        <w:right w:val="none" w:sz="0" w:space="0" w:color="auto"/>
      </w:divBdr>
    </w:div>
    <w:div w:id="1245263964">
      <w:bodyDiv w:val="1"/>
      <w:marLeft w:val="0"/>
      <w:marRight w:val="0"/>
      <w:marTop w:val="0"/>
      <w:marBottom w:val="0"/>
      <w:divBdr>
        <w:top w:val="none" w:sz="0" w:space="0" w:color="auto"/>
        <w:left w:val="none" w:sz="0" w:space="0" w:color="auto"/>
        <w:bottom w:val="none" w:sz="0" w:space="0" w:color="auto"/>
        <w:right w:val="none" w:sz="0" w:space="0" w:color="auto"/>
      </w:divBdr>
    </w:div>
    <w:div w:id="1309288633">
      <w:bodyDiv w:val="1"/>
      <w:marLeft w:val="0"/>
      <w:marRight w:val="0"/>
      <w:marTop w:val="0"/>
      <w:marBottom w:val="0"/>
      <w:divBdr>
        <w:top w:val="none" w:sz="0" w:space="0" w:color="auto"/>
        <w:left w:val="none" w:sz="0" w:space="0" w:color="auto"/>
        <w:bottom w:val="none" w:sz="0" w:space="0" w:color="auto"/>
        <w:right w:val="none" w:sz="0" w:space="0" w:color="auto"/>
      </w:divBdr>
    </w:div>
    <w:div w:id="1313633269">
      <w:bodyDiv w:val="1"/>
      <w:marLeft w:val="0"/>
      <w:marRight w:val="0"/>
      <w:marTop w:val="0"/>
      <w:marBottom w:val="0"/>
      <w:divBdr>
        <w:top w:val="none" w:sz="0" w:space="0" w:color="auto"/>
        <w:left w:val="none" w:sz="0" w:space="0" w:color="auto"/>
        <w:bottom w:val="none" w:sz="0" w:space="0" w:color="auto"/>
        <w:right w:val="none" w:sz="0" w:space="0" w:color="auto"/>
      </w:divBdr>
    </w:div>
    <w:div w:id="1314329951">
      <w:bodyDiv w:val="1"/>
      <w:marLeft w:val="0"/>
      <w:marRight w:val="0"/>
      <w:marTop w:val="0"/>
      <w:marBottom w:val="0"/>
      <w:divBdr>
        <w:top w:val="none" w:sz="0" w:space="0" w:color="auto"/>
        <w:left w:val="none" w:sz="0" w:space="0" w:color="auto"/>
        <w:bottom w:val="none" w:sz="0" w:space="0" w:color="auto"/>
        <w:right w:val="none" w:sz="0" w:space="0" w:color="auto"/>
      </w:divBdr>
    </w:div>
    <w:div w:id="1328440435">
      <w:bodyDiv w:val="1"/>
      <w:marLeft w:val="0"/>
      <w:marRight w:val="0"/>
      <w:marTop w:val="0"/>
      <w:marBottom w:val="0"/>
      <w:divBdr>
        <w:top w:val="none" w:sz="0" w:space="0" w:color="auto"/>
        <w:left w:val="none" w:sz="0" w:space="0" w:color="auto"/>
        <w:bottom w:val="none" w:sz="0" w:space="0" w:color="auto"/>
        <w:right w:val="none" w:sz="0" w:space="0" w:color="auto"/>
      </w:divBdr>
    </w:div>
    <w:div w:id="1336882598">
      <w:bodyDiv w:val="1"/>
      <w:marLeft w:val="0"/>
      <w:marRight w:val="0"/>
      <w:marTop w:val="0"/>
      <w:marBottom w:val="0"/>
      <w:divBdr>
        <w:top w:val="none" w:sz="0" w:space="0" w:color="auto"/>
        <w:left w:val="none" w:sz="0" w:space="0" w:color="auto"/>
        <w:bottom w:val="none" w:sz="0" w:space="0" w:color="auto"/>
        <w:right w:val="none" w:sz="0" w:space="0" w:color="auto"/>
      </w:divBdr>
    </w:div>
    <w:div w:id="1355572278">
      <w:bodyDiv w:val="1"/>
      <w:marLeft w:val="0"/>
      <w:marRight w:val="0"/>
      <w:marTop w:val="0"/>
      <w:marBottom w:val="0"/>
      <w:divBdr>
        <w:top w:val="none" w:sz="0" w:space="0" w:color="auto"/>
        <w:left w:val="none" w:sz="0" w:space="0" w:color="auto"/>
        <w:bottom w:val="none" w:sz="0" w:space="0" w:color="auto"/>
        <w:right w:val="none" w:sz="0" w:space="0" w:color="auto"/>
      </w:divBdr>
    </w:div>
    <w:div w:id="1366641253">
      <w:bodyDiv w:val="1"/>
      <w:marLeft w:val="0"/>
      <w:marRight w:val="0"/>
      <w:marTop w:val="0"/>
      <w:marBottom w:val="0"/>
      <w:divBdr>
        <w:top w:val="none" w:sz="0" w:space="0" w:color="auto"/>
        <w:left w:val="none" w:sz="0" w:space="0" w:color="auto"/>
        <w:bottom w:val="none" w:sz="0" w:space="0" w:color="auto"/>
        <w:right w:val="none" w:sz="0" w:space="0" w:color="auto"/>
      </w:divBdr>
    </w:div>
    <w:div w:id="1384524937">
      <w:bodyDiv w:val="1"/>
      <w:marLeft w:val="0"/>
      <w:marRight w:val="0"/>
      <w:marTop w:val="0"/>
      <w:marBottom w:val="0"/>
      <w:divBdr>
        <w:top w:val="none" w:sz="0" w:space="0" w:color="auto"/>
        <w:left w:val="none" w:sz="0" w:space="0" w:color="auto"/>
        <w:bottom w:val="none" w:sz="0" w:space="0" w:color="auto"/>
        <w:right w:val="none" w:sz="0" w:space="0" w:color="auto"/>
      </w:divBdr>
    </w:div>
    <w:div w:id="1415660890">
      <w:bodyDiv w:val="1"/>
      <w:marLeft w:val="0"/>
      <w:marRight w:val="0"/>
      <w:marTop w:val="0"/>
      <w:marBottom w:val="0"/>
      <w:divBdr>
        <w:top w:val="none" w:sz="0" w:space="0" w:color="auto"/>
        <w:left w:val="none" w:sz="0" w:space="0" w:color="auto"/>
        <w:bottom w:val="none" w:sz="0" w:space="0" w:color="auto"/>
        <w:right w:val="none" w:sz="0" w:space="0" w:color="auto"/>
      </w:divBdr>
    </w:div>
    <w:div w:id="1440443765">
      <w:bodyDiv w:val="1"/>
      <w:marLeft w:val="0"/>
      <w:marRight w:val="0"/>
      <w:marTop w:val="0"/>
      <w:marBottom w:val="0"/>
      <w:divBdr>
        <w:top w:val="none" w:sz="0" w:space="0" w:color="auto"/>
        <w:left w:val="none" w:sz="0" w:space="0" w:color="auto"/>
        <w:bottom w:val="none" w:sz="0" w:space="0" w:color="auto"/>
        <w:right w:val="none" w:sz="0" w:space="0" w:color="auto"/>
      </w:divBdr>
    </w:div>
    <w:div w:id="1451588103">
      <w:bodyDiv w:val="1"/>
      <w:marLeft w:val="0"/>
      <w:marRight w:val="0"/>
      <w:marTop w:val="0"/>
      <w:marBottom w:val="0"/>
      <w:divBdr>
        <w:top w:val="none" w:sz="0" w:space="0" w:color="auto"/>
        <w:left w:val="none" w:sz="0" w:space="0" w:color="auto"/>
        <w:bottom w:val="none" w:sz="0" w:space="0" w:color="auto"/>
        <w:right w:val="none" w:sz="0" w:space="0" w:color="auto"/>
      </w:divBdr>
    </w:div>
    <w:div w:id="1494494526">
      <w:bodyDiv w:val="1"/>
      <w:marLeft w:val="0"/>
      <w:marRight w:val="0"/>
      <w:marTop w:val="0"/>
      <w:marBottom w:val="0"/>
      <w:divBdr>
        <w:top w:val="none" w:sz="0" w:space="0" w:color="auto"/>
        <w:left w:val="none" w:sz="0" w:space="0" w:color="auto"/>
        <w:bottom w:val="none" w:sz="0" w:space="0" w:color="auto"/>
        <w:right w:val="none" w:sz="0" w:space="0" w:color="auto"/>
      </w:divBdr>
    </w:div>
    <w:div w:id="1540557192">
      <w:bodyDiv w:val="1"/>
      <w:marLeft w:val="0"/>
      <w:marRight w:val="0"/>
      <w:marTop w:val="0"/>
      <w:marBottom w:val="0"/>
      <w:divBdr>
        <w:top w:val="none" w:sz="0" w:space="0" w:color="auto"/>
        <w:left w:val="none" w:sz="0" w:space="0" w:color="auto"/>
        <w:bottom w:val="none" w:sz="0" w:space="0" w:color="auto"/>
        <w:right w:val="none" w:sz="0" w:space="0" w:color="auto"/>
      </w:divBdr>
    </w:div>
    <w:div w:id="1573078416">
      <w:bodyDiv w:val="1"/>
      <w:marLeft w:val="0"/>
      <w:marRight w:val="0"/>
      <w:marTop w:val="0"/>
      <w:marBottom w:val="0"/>
      <w:divBdr>
        <w:top w:val="none" w:sz="0" w:space="0" w:color="auto"/>
        <w:left w:val="none" w:sz="0" w:space="0" w:color="auto"/>
        <w:bottom w:val="none" w:sz="0" w:space="0" w:color="auto"/>
        <w:right w:val="none" w:sz="0" w:space="0" w:color="auto"/>
      </w:divBdr>
    </w:div>
    <w:div w:id="1601529332">
      <w:bodyDiv w:val="1"/>
      <w:marLeft w:val="0"/>
      <w:marRight w:val="0"/>
      <w:marTop w:val="0"/>
      <w:marBottom w:val="0"/>
      <w:divBdr>
        <w:top w:val="none" w:sz="0" w:space="0" w:color="auto"/>
        <w:left w:val="none" w:sz="0" w:space="0" w:color="auto"/>
        <w:bottom w:val="none" w:sz="0" w:space="0" w:color="auto"/>
        <w:right w:val="none" w:sz="0" w:space="0" w:color="auto"/>
      </w:divBdr>
    </w:div>
    <w:div w:id="1646156837">
      <w:bodyDiv w:val="1"/>
      <w:marLeft w:val="0"/>
      <w:marRight w:val="0"/>
      <w:marTop w:val="0"/>
      <w:marBottom w:val="0"/>
      <w:divBdr>
        <w:top w:val="none" w:sz="0" w:space="0" w:color="auto"/>
        <w:left w:val="none" w:sz="0" w:space="0" w:color="auto"/>
        <w:bottom w:val="none" w:sz="0" w:space="0" w:color="auto"/>
        <w:right w:val="none" w:sz="0" w:space="0" w:color="auto"/>
      </w:divBdr>
    </w:div>
    <w:div w:id="1662928979">
      <w:bodyDiv w:val="1"/>
      <w:marLeft w:val="0"/>
      <w:marRight w:val="0"/>
      <w:marTop w:val="0"/>
      <w:marBottom w:val="0"/>
      <w:divBdr>
        <w:top w:val="none" w:sz="0" w:space="0" w:color="auto"/>
        <w:left w:val="none" w:sz="0" w:space="0" w:color="auto"/>
        <w:bottom w:val="none" w:sz="0" w:space="0" w:color="auto"/>
        <w:right w:val="none" w:sz="0" w:space="0" w:color="auto"/>
      </w:divBdr>
    </w:div>
    <w:div w:id="1680229283">
      <w:bodyDiv w:val="1"/>
      <w:marLeft w:val="0"/>
      <w:marRight w:val="0"/>
      <w:marTop w:val="0"/>
      <w:marBottom w:val="0"/>
      <w:divBdr>
        <w:top w:val="none" w:sz="0" w:space="0" w:color="auto"/>
        <w:left w:val="none" w:sz="0" w:space="0" w:color="auto"/>
        <w:bottom w:val="none" w:sz="0" w:space="0" w:color="auto"/>
        <w:right w:val="none" w:sz="0" w:space="0" w:color="auto"/>
      </w:divBdr>
    </w:div>
    <w:div w:id="1760444256">
      <w:bodyDiv w:val="1"/>
      <w:marLeft w:val="0"/>
      <w:marRight w:val="0"/>
      <w:marTop w:val="0"/>
      <w:marBottom w:val="0"/>
      <w:divBdr>
        <w:top w:val="none" w:sz="0" w:space="0" w:color="auto"/>
        <w:left w:val="none" w:sz="0" w:space="0" w:color="auto"/>
        <w:bottom w:val="none" w:sz="0" w:space="0" w:color="auto"/>
        <w:right w:val="none" w:sz="0" w:space="0" w:color="auto"/>
      </w:divBdr>
    </w:div>
    <w:div w:id="1769305818">
      <w:bodyDiv w:val="1"/>
      <w:marLeft w:val="0"/>
      <w:marRight w:val="0"/>
      <w:marTop w:val="0"/>
      <w:marBottom w:val="0"/>
      <w:divBdr>
        <w:top w:val="none" w:sz="0" w:space="0" w:color="auto"/>
        <w:left w:val="none" w:sz="0" w:space="0" w:color="auto"/>
        <w:bottom w:val="none" w:sz="0" w:space="0" w:color="auto"/>
        <w:right w:val="none" w:sz="0" w:space="0" w:color="auto"/>
      </w:divBdr>
    </w:div>
    <w:div w:id="1774592918">
      <w:bodyDiv w:val="1"/>
      <w:marLeft w:val="0"/>
      <w:marRight w:val="0"/>
      <w:marTop w:val="0"/>
      <w:marBottom w:val="0"/>
      <w:divBdr>
        <w:top w:val="none" w:sz="0" w:space="0" w:color="auto"/>
        <w:left w:val="none" w:sz="0" w:space="0" w:color="auto"/>
        <w:bottom w:val="none" w:sz="0" w:space="0" w:color="auto"/>
        <w:right w:val="none" w:sz="0" w:space="0" w:color="auto"/>
      </w:divBdr>
    </w:div>
    <w:div w:id="1777291324">
      <w:bodyDiv w:val="1"/>
      <w:marLeft w:val="0"/>
      <w:marRight w:val="0"/>
      <w:marTop w:val="0"/>
      <w:marBottom w:val="0"/>
      <w:divBdr>
        <w:top w:val="none" w:sz="0" w:space="0" w:color="auto"/>
        <w:left w:val="none" w:sz="0" w:space="0" w:color="auto"/>
        <w:bottom w:val="none" w:sz="0" w:space="0" w:color="auto"/>
        <w:right w:val="none" w:sz="0" w:space="0" w:color="auto"/>
      </w:divBdr>
    </w:div>
    <w:div w:id="1810900071">
      <w:bodyDiv w:val="1"/>
      <w:marLeft w:val="0"/>
      <w:marRight w:val="0"/>
      <w:marTop w:val="0"/>
      <w:marBottom w:val="0"/>
      <w:divBdr>
        <w:top w:val="none" w:sz="0" w:space="0" w:color="auto"/>
        <w:left w:val="none" w:sz="0" w:space="0" w:color="auto"/>
        <w:bottom w:val="none" w:sz="0" w:space="0" w:color="auto"/>
        <w:right w:val="none" w:sz="0" w:space="0" w:color="auto"/>
      </w:divBdr>
    </w:div>
    <w:div w:id="1864246639">
      <w:bodyDiv w:val="1"/>
      <w:marLeft w:val="0"/>
      <w:marRight w:val="0"/>
      <w:marTop w:val="0"/>
      <w:marBottom w:val="0"/>
      <w:divBdr>
        <w:top w:val="none" w:sz="0" w:space="0" w:color="auto"/>
        <w:left w:val="none" w:sz="0" w:space="0" w:color="auto"/>
        <w:bottom w:val="none" w:sz="0" w:space="0" w:color="auto"/>
        <w:right w:val="none" w:sz="0" w:space="0" w:color="auto"/>
      </w:divBdr>
    </w:div>
    <w:div w:id="1867255723">
      <w:bodyDiv w:val="1"/>
      <w:marLeft w:val="0"/>
      <w:marRight w:val="0"/>
      <w:marTop w:val="0"/>
      <w:marBottom w:val="0"/>
      <w:divBdr>
        <w:top w:val="none" w:sz="0" w:space="0" w:color="auto"/>
        <w:left w:val="none" w:sz="0" w:space="0" w:color="auto"/>
        <w:bottom w:val="none" w:sz="0" w:space="0" w:color="auto"/>
        <w:right w:val="none" w:sz="0" w:space="0" w:color="auto"/>
      </w:divBdr>
      <w:divsChild>
        <w:div w:id="2031908018">
          <w:marLeft w:val="0"/>
          <w:marRight w:val="0"/>
          <w:marTop w:val="0"/>
          <w:marBottom w:val="0"/>
          <w:divBdr>
            <w:top w:val="none" w:sz="0" w:space="0" w:color="auto"/>
            <w:left w:val="none" w:sz="0" w:space="0" w:color="auto"/>
            <w:bottom w:val="none" w:sz="0" w:space="0" w:color="auto"/>
            <w:right w:val="none" w:sz="0" w:space="0" w:color="auto"/>
          </w:divBdr>
          <w:divsChild>
            <w:div w:id="225069493">
              <w:marLeft w:val="75"/>
              <w:marRight w:val="0"/>
              <w:marTop w:val="0"/>
              <w:marBottom w:val="0"/>
              <w:divBdr>
                <w:top w:val="none" w:sz="0" w:space="0" w:color="auto"/>
                <w:left w:val="none" w:sz="0" w:space="0" w:color="auto"/>
                <w:bottom w:val="none" w:sz="0" w:space="0" w:color="auto"/>
                <w:right w:val="none" w:sz="0" w:space="0" w:color="auto"/>
              </w:divBdr>
            </w:div>
            <w:div w:id="971254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04562370">
      <w:bodyDiv w:val="1"/>
      <w:marLeft w:val="0"/>
      <w:marRight w:val="0"/>
      <w:marTop w:val="0"/>
      <w:marBottom w:val="0"/>
      <w:divBdr>
        <w:top w:val="none" w:sz="0" w:space="0" w:color="auto"/>
        <w:left w:val="none" w:sz="0" w:space="0" w:color="auto"/>
        <w:bottom w:val="none" w:sz="0" w:space="0" w:color="auto"/>
        <w:right w:val="none" w:sz="0" w:space="0" w:color="auto"/>
      </w:divBdr>
    </w:div>
    <w:div w:id="1928074183">
      <w:bodyDiv w:val="1"/>
      <w:marLeft w:val="0"/>
      <w:marRight w:val="0"/>
      <w:marTop w:val="0"/>
      <w:marBottom w:val="0"/>
      <w:divBdr>
        <w:top w:val="none" w:sz="0" w:space="0" w:color="auto"/>
        <w:left w:val="none" w:sz="0" w:space="0" w:color="auto"/>
        <w:bottom w:val="none" w:sz="0" w:space="0" w:color="auto"/>
        <w:right w:val="none" w:sz="0" w:space="0" w:color="auto"/>
      </w:divBdr>
    </w:div>
    <w:div w:id="1997760416">
      <w:bodyDiv w:val="1"/>
      <w:marLeft w:val="0"/>
      <w:marRight w:val="0"/>
      <w:marTop w:val="0"/>
      <w:marBottom w:val="0"/>
      <w:divBdr>
        <w:top w:val="none" w:sz="0" w:space="0" w:color="auto"/>
        <w:left w:val="none" w:sz="0" w:space="0" w:color="auto"/>
        <w:bottom w:val="none" w:sz="0" w:space="0" w:color="auto"/>
        <w:right w:val="none" w:sz="0" w:space="0" w:color="auto"/>
      </w:divBdr>
    </w:div>
    <w:div w:id="201641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2020-2024</PublishDate>
  <Abstract>за борбу против прања новца и финансирања тероризма за период 2020–2024. и Акциони план за период 2020–2022. године - ПРЕДЛОГ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E43A5A-4397-4023-BA6F-C1C3F110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8487</Words>
  <Characters>48377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СТРАТЕГИЈА</vt:lpstr>
    </vt:vector>
  </TitlesOfParts>
  <Company>Mic</Company>
  <LinksUpToDate>false</LinksUpToDate>
  <CharactersWithSpaces>56751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СТРАТЕГИЈА</dc:title>
  <dc:creator>Snezana Konjevic</dc:creator>
  <cp:lastModifiedBy>Катарина Павличић</cp:lastModifiedBy>
  <cp:revision>2</cp:revision>
  <cp:lastPrinted>2020-02-13T13:39:00Z</cp:lastPrinted>
  <dcterms:created xsi:type="dcterms:W3CDTF">2020-03-04T10:06:00Z</dcterms:created>
  <dcterms:modified xsi:type="dcterms:W3CDTF">2020-03-04T10:06:00Z</dcterms:modified>
</cp:coreProperties>
</file>